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AEFB" w14:textId="77777777" w:rsidR="001778EC" w:rsidRPr="007E29EA" w:rsidRDefault="001778EC" w:rsidP="007040DF">
      <w:pPr>
        <w:pStyle w:val="To"/>
        <w:ind w:left="0" w:firstLine="0"/>
        <w:rPr>
          <w:szCs w:val="24"/>
        </w:rPr>
      </w:pPr>
      <w:r w:rsidRPr="007E29EA">
        <w:rPr>
          <w:szCs w:val="24"/>
        </w:rPr>
        <w:t>To:</w:t>
      </w:r>
      <w:r w:rsidRPr="007E29EA">
        <w:rPr>
          <w:szCs w:val="24"/>
        </w:rPr>
        <w:tab/>
      </w:r>
      <w:bookmarkStart w:id="0" w:name="Memo_To"/>
      <w:bookmarkEnd w:id="0"/>
      <w:r w:rsidRPr="007E29EA">
        <w:rPr>
          <w:szCs w:val="24"/>
        </w:rPr>
        <w:t>Building Tenants</w:t>
      </w:r>
    </w:p>
    <w:p w14:paraId="2375ACA6" w14:textId="77777777" w:rsidR="001778EC" w:rsidRPr="007E29EA" w:rsidRDefault="001778EC" w:rsidP="007040DF">
      <w:pPr>
        <w:pStyle w:val="From"/>
        <w:ind w:left="0" w:firstLine="0"/>
        <w:rPr>
          <w:szCs w:val="24"/>
        </w:rPr>
      </w:pPr>
      <w:r w:rsidRPr="007E29EA">
        <w:rPr>
          <w:szCs w:val="24"/>
        </w:rPr>
        <w:t>From:</w:t>
      </w:r>
      <w:r w:rsidRPr="007E29EA">
        <w:rPr>
          <w:szCs w:val="24"/>
        </w:rPr>
        <w:tab/>
      </w:r>
      <w:bookmarkStart w:id="1" w:name="Memo_From"/>
      <w:bookmarkEnd w:id="1"/>
      <w:r w:rsidRPr="007E29EA">
        <w:rPr>
          <w:szCs w:val="24"/>
        </w:rPr>
        <w:t>XX, Property Manager</w:t>
      </w:r>
    </w:p>
    <w:p w14:paraId="746D317F" w14:textId="77777777" w:rsidR="001778EC" w:rsidRPr="007E29EA" w:rsidRDefault="001778EC" w:rsidP="007040DF">
      <w:pPr>
        <w:pStyle w:val="Date"/>
        <w:ind w:left="0" w:firstLine="0"/>
        <w:rPr>
          <w:szCs w:val="24"/>
        </w:rPr>
      </w:pPr>
      <w:r w:rsidRPr="007E29EA">
        <w:rPr>
          <w:szCs w:val="24"/>
        </w:rPr>
        <w:t>Date:</w:t>
      </w:r>
      <w:r w:rsidRPr="007E29EA">
        <w:rPr>
          <w:szCs w:val="24"/>
        </w:rPr>
        <w:tab/>
      </w:r>
      <w:bookmarkStart w:id="2" w:name="Memo_Date"/>
      <w:bookmarkEnd w:id="2"/>
      <w:r w:rsidRPr="007E29EA">
        <w:rPr>
          <w:szCs w:val="24"/>
        </w:rPr>
        <w:t>XX/XX/XXXX</w:t>
      </w:r>
    </w:p>
    <w:p w14:paraId="1C10C322" w14:textId="77777777" w:rsidR="001778EC" w:rsidRDefault="001778EC" w:rsidP="007040DF">
      <w:pPr>
        <w:pStyle w:val="Subject"/>
        <w:ind w:left="0" w:firstLine="0"/>
        <w:rPr>
          <w:szCs w:val="24"/>
        </w:rPr>
      </w:pPr>
      <w:r w:rsidRPr="007E29EA">
        <w:rPr>
          <w:szCs w:val="24"/>
        </w:rPr>
        <w:t>Re:</w:t>
      </w:r>
      <w:r w:rsidRPr="007E29EA">
        <w:rPr>
          <w:szCs w:val="24"/>
        </w:rPr>
        <w:tab/>
      </w:r>
      <w:bookmarkStart w:id="3" w:name="Memo_Re"/>
      <w:bookmarkEnd w:id="3"/>
      <w:r>
        <w:rPr>
          <w:szCs w:val="24"/>
        </w:rPr>
        <w:t>New</w:t>
      </w:r>
      <w:r w:rsidRPr="007E29EA">
        <w:rPr>
          <w:szCs w:val="24"/>
        </w:rPr>
        <w:t xml:space="preserve"> Recycling and Composting Progra</w:t>
      </w:r>
      <w:bookmarkStart w:id="4" w:name="Memo_Body"/>
      <w:bookmarkEnd w:id="4"/>
      <w:r>
        <w:rPr>
          <w:szCs w:val="24"/>
        </w:rPr>
        <w:t xml:space="preserve">m                                                                                        </w:t>
      </w:r>
    </w:p>
    <w:p w14:paraId="4A1ABBB4" w14:textId="77777777" w:rsidR="001778EC" w:rsidRPr="00AB7782" w:rsidRDefault="001778EC" w:rsidP="007040DF">
      <w:pPr>
        <w:pStyle w:val="Subject"/>
        <w:ind w:left="0" w:firstLine="0"/>
        <w:rPr>
          <w:szCs w:val="24"/>
        </w:rPr>
      </w:pPr>
      <w:r w:rsidRPr="00B32EA4">
        <w:rPr>
          <w:b/>
          <w:i/>
          <w:sz w:val="28"/>
          <w:szCs w:val="28"/>
          <w:highlight w:val="green"/>
        </w:rPr>
        <w:t xml:space="preserve">[The highlighted words indicate portions of the template that should be changed before distribution.  Add specifics about recycling and composting programs at your building such as types and locations of </w:t>
      </w:r>
      <w:r>
        <w:rPr>
          <w:b/>
          <w:i/>
          <w:sz w:val="28"/>
          <w:szCs w:val="28"/>
          <w:highlight w:val="green"/>
        </w:rPr>
        <w:t>deskside</w:t>
      </w:r>
      <w:r w:rsidRPr="00B32EA4">
        <w:rPr>
          <w:b/>
          <w:i/>
          <w:sz w:val="28"/>
          <w:szCs w:val="28"/>
          <w:highlight w:val="green"/>
        </w:rPr>
        <w:t xml:space="preserve"> and central containers, frequency of collection by janitors, service provider(s) and other program information.]</w:t>
      </w:r>
    </w:p>
    <w:p w14:paraId="7E9FC5BF" w14:textId="77777777" w:rsidR="001778EC" w:rsidRPr="00BF6739" w:rsidRDefault="001778EC" w:rsidP="002A30FF">
      <w:pPr>
        <w:rPr>
          <w:color w:val="000000"/>
        </w:rPr>
      </w:pPr>
    </w:p>
    <w:p w14:paraId="52723D07" w14:textId="77777777" w:rsidR="001778EC" w:rsidRPr="007E29EA" w:rsidRDefault="00BF6739" w:rsidP="00BF6739">
      <w:pPr>
        <w:pStyle w:val="Subject"/>
        <w:spacing w:after="240"/>
        <w:ind w:left="0" w:firstLine="0"/>
        <w:rPr>
          <w:color w:val="000000"/>
        </w:rPr>
      </w:pPr>
      <w:r w:rsidRPr="00BF6739">
        <w:rPr>
          <w:color w:val="000000"/>
          <w:szCs w:val="24"/>
        </w:rPr>
        <w:t xml:space="preserve">Recently adopted State law requires businesses in </w:t>
      </w:r>
      <w:r w:rsidRPr="00BF6739">
        <w:rPr>
          <w:color w:val="000000"/>
          <w:szCs w:val="24"/>
          <w:highlight w:val="green"/>
        </w:rPr>
        <w:t>[City/County</w:t>
      </w:r>
      <w:r>
        <w:rPr>
          <w:color w:val="000000"/>
          <w:szCs w:val="24"/>
          <w:highlight w:val="green"/>
        </w:rPr>
        <w:t xml:space="preserve"> Name</w:t>
      </w:r>
      <w:r w:rsidRPr="00BF6739">
        <w:rPr>
          <w:color w:val="000000"/>
          <w:szCs w:val="24"/>
          <w:highlight w:val="green"/>
        </w:rPr>
        <w:t>]</w:t>
      </w:r>
      <w:r w:rsidRPr="00BF6739">
        <w:rPr>
          <w:color w:val="000000"/>
          <w:szCs w:val="24"/>
        </w:rPr>
        <w:t xml:space="preserve"> that meet certain thresholds to separate recyclables from garbage beginning July 1, 2012 and to separate organics from garbage beginning July 1, 2016. </w:t>
      </w:r>
      <w:r>
        <w:rPr>
          <w:color w:val="000000"/>
          <w:szCs w:val="24"/>
        </w:rPr>
        <w:t xml:space="preserve">To comply with the new laws </w:t>
      </w:r>
      <w:r w:rsidRPr="00BF6739">
        <w:rPr>
          <w:color w:val="000000"/>
          <w:szCs w:val="24"/>
          <w:highlight w:val="green"/>
        </w:rPr>
        <w:t>and t</w:t>
      </w:r>
      <w:r w:rsidR="001778EC" w:rsidRPr="00BF6739">
        <w:rPr>
          <w:color w:val="000000"/>
          <w:highlight w:val="green"/>
        </w:rPr>
        <w:t xml:space="preserve">o help the </w:t>
      </w:r>
      <w:r w:rsidRPr="00BF6739">
        <w:rPr>
          <w:color w:val="000000"/>
          <w:szCs w:val="24"/>
          <w:highlight w:val="green"/>
        </w:rPr>
        <w:t xml:space="preserve">[City/County Name] </w:t>
      </w:r>
      <w:r w:rsidR="001778EC" w:rsidRPr="00BF6739">
        <w:rPr>
          <w:color w:val="000000"/>
          <w:highlight w:val="green"/>
        </w:rPr>
        <w:t>meet its goals</w:t>
      </w:r>
      <w:r w:rsidR="001778EC" w:rsidRPr="007E29EA">
        <w:rPr>
          <w:color w:val="000000"/>
        </w:rPr>
        <w:t xml:space="preserve"> and to be in compliance with the Mandatory Re</w:t>
      </w:r>
      <w:r>
        <w:rPr>
          <w:color w:val="000000"/>
        </w:rPr>
        <w:t>cycling and Composting laws</w:t>
      </w:r>
      <w:r w:rsidR="001778EC" w:rsidRPr="007E29EA">
        <w:rPr>
          <w:color w:val="000000"/>
        </w:rPr>
        <w:t xml:space="preserve">, </w:t>
      </w:r>
      <w:r>
        <w:rPr>
          <w:color w:val="000000"/>
        </w:rPr>
        <w:t>[</w:t>
      </w:r>
      <w:r w:rsidR="001778EC" w:rsidRPr="007E29EA">
        <w:rPr>
          <w:color w:val="000000"/>
          <w:highlight w:val="green"/>
        </w:rPr>
        <w:t>Your Property</w:t>
      </w:r>
      <w:r>
        <w:rPr>
          <w:color w:val="000000"/>
        </w:rPr>
        <w:t>]</w:t>
      </w:r>
      <w:r w:rsidR="001778EC" w:rsidRPr="007E29EA">
        <w:rPr>
          <w:color w:val="000000"/>
        </w:rPr>
        <w:t xml:space="preserve"> is implementing a </w:t>
      </w:r>
      <w:r w:rsidR="001778EC">
        <w:rPr>
          <w:color w:val="000000"/>
        </w:rPr>
        <w:t>new</w:t>
      </w:r>
      <w:r w:rsidR="001778EC" w:rsidRPr="007E29EA">
        <w:rPr>
          <w:color w:val="000000"/>
        </w:rPr>
        <w:t xml:space="preserve"> recycling and composting program.</w:t>
      </w:r>
    </w:p>
    <w:p w14:paraId="039C0D23" w14:textId="3A65B217" w:rsidR="00B85B79" w:rsidRPr="007E29EA" w:rsidRDefault="002A2D9D" w:rsidP="001360CA">
      <w:pPr>
        <w:jc w:val="center"/>
      </w:pPr>
      <w:r w:rsidRPr="007E29EA">
        <w:rPr>
          <w:noProof/>
        </w:rPr>
        <w:drawing>
          <wp:inline distT="0" distB="0" distL="0" distR="0" wp14:anchorId="4B22F5D3" wp14:editId="7985DC8B">
            <wp:extent cx="2381250" cy="1590675"/>
            <wp:effectExtent l="0" t="0" r="0" b="0"/>
            <wp:docPr id="1" name="Object 1" descr="Pie chart: 60% recycling, 30% compost, and 10% tras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B0B828" w14:textId="77777777" w:rsidR="001778EC" w:rsidRDefault="001778EC">
      <w:r>
        <w:t xml:space="preserve">Our building typically generates approximately 60% recyclable paper, bottles and cans, 30% compostables and only 5-10% materials that actually belong in the garbage.  </w:t>
      </w:r>
      <w:r w:rsidRPr="003355E8">
        <w:t>Our goal is to make recycling and composting easy for you and increase the amount we divert from the landfill.  Recycling more helps our environment by reducing energy use and pollution, and</w:t>
      </w:r>
      <w:r>
        <w:t xml:space="preserve"> conserving natural resources.</w:t>
      </w:r>
    </w:p>
    <w:p w14:paraId="5A959219" w14:textId="77777777" w:rsidR="001778EC" w:rsidRDefault="001778EC"/>
    <w:p w14:paraId="3712B26F" w14:textId="77777777" w:rsidR="001778EC" w:rsidRPr="007E29EA" w:rsidRDefault="001778EC"/>
    <w:p w14:paraId="63540EA2" w14:textId="77777777" w:rsidR="001778EC" w:rsidRDefault="001778EC">
      <w:r>
        <w:t>Here is how the program will work:</w:t>
      </w:r>
    </w:p>
    <w:p w14:paraId="2AC2538A" w14:textId="77777777" w:rsidR="001778EC" w:rsidRPr="007E29EA" w:rsidRDefault="001778EC">
      <w:r>
        <w:br w:type="page"/>
      </w:r>
    </w:p>
    <w:p w14:paraId="7C0BA42E" w14:textId="77777777" w:rsidR="001778EC" w:rsidRDefault="001778EC" w:rsidP="00E37F0A">
      <w:pPr>
        <w:rPr>
          <w:b/>
          <w:highlight w:val="green"/>
          <w:u w:val="single"/>
        </w:rPr>
      </w:pPr>
      <w:r>
        <w:rPr>
          <w:b/>
          <w:highlight w:val="green"/>
          <w:u w:val="single"/>
        </w:rPr>
        <w:lastRenderedPageBreak/>
        <w:t>Deskside</w:t>
      </w:r>
      <w:r w:rsidRPr="00B32EA4">
        <w:rPr>
          <w:b/>
          <w:highlight w:val="green"/>
          <w:u w:val="single"/>
        </w:rPr>
        <w:t xml:space="preserve"> Collection: </w:t>
      </w:r>
    </w:p>
    <w:p w14:paraId="65A66AC0" w14:textId="77777777" w:rsidR="001778EC" w:rsidRPr="0089230F" w:rsidRDefault="001778EC" w:rsidP="00E37F0A">
      <w:pPr>
        <w:rPr>
          <w:b/>
          <w:i/>
        </w:rPr>
      </w:pPr>
      <w:r w:rsidRPr="0089230F">
        <w:rPr>
          <w:b/>
          <w:i/>
          <w:highlight w:val="green"/>
        </w:rPr>
        <w:t xml:space="preserve">Choose the option that best describes your building’s </w:t>
      </w:r>
      <w:r>
        <w:rPr>
          <w:b/>
          <w:i/>
          <w:highlight w:val="green"/>
        </w:rPr>
        <w:t>deskside</w:t>
      </w:r>
      <w:r w:rsidRPr="0089230F">
        <w:rPr>
          <w:b/>
          <w:i/>
          <w:highlight w:val="green"/>
        </w:rPr>
        <w:t xml:space="preserve"> collection system</w:t>
      </w:r>
      <w:r w:rsidRPr="0089230F">
        <w:rPr>
          <w:b/>
          <w:i/>
        </w:rPr>
        <w:t>:</w:t>
      </w:r>
    </w:p>
    <w:p w14:paraId="3C5A3346" w14:textId="77777777" w:rsidR="001778EC" w:rsidRPr="00C87D69" w:rsidRDefault="001778EC" w:rsidP="00E9680B">
      <w:pPr>
        <w:numPr>
          <w:ilvl w:val="0"/>
          <w:numId w:val="3"/>
        </w:numPr>
        <w:rPr>
          <w:b/>
          <w:u w:val="single"/>
        </w:rPr>
      </w:pPr>
      <w:r>
        <w:t>There will be no deskside collection of trash, compostables or recyclables.  Please deposit</w:t>
      </w:r>
      <w:r w:rsidRPr="00BD7ECC">
        <w:rPr>
          <w:b/>
        </w:rPr>
        <w:t xml:space="preserve"> trash</w:t>
      </w:r>
      <w:r>
        <w:t>,</w:t>
      </w:r>
      <w:r w:rsidRPr="00BD7ECC">
        <w:rPr>
          <w:b/>
          <w:color w:val="008000"/>
        </w:rPr>
        <w:t xml:space="preserve"> compostables</w:t>
      </w:r>
      <w:r>
        <w:t xml:space="preserve">, and </w:t>
      </w:r>
      <w:r w:rsidRPr="00BD7ECC">
        <w:rPr>
          <w:b/>
          <w:color w:val="0000FF"/>
        </w:rPr>
        <w:t>recyclab</w:t>
      </w:r>
      <w:r>
        <w:rPr>
          <w:b/>
          <w:color w:val="0000FF"/>
        </w:rPr>
        <w:t>l</w:t>
      </w:r>
      <w:r w:rsidRPr="00BD7ECC">
        <w:rPr>
          <w:b/>
          <w:color w:val="0000FF"/>
        </w:rPr>
        <w:t>es</w:t>
      </w:r>
      <w:r>
        <w:t xml:space="preserve"> in the separate containers located in the </w:t>
      </w:r>
      <w:r w:rsidR="005C3AD9" w:rsidRPr="00F663DC">
        <w:rPr>
          <w:highlight w:val="green"/>
        </w:rPr>
        <w:t>kitchen area</w:t>
      </w:r>
      <w:r w:rsidR="005C3AD9">
        <w:rPr>
          <w:highlight w:val="green"/>
        </w:rPr>
        <w:t xml:space="preserve">, </w:t>
      </w:r>
      <w:r w:rsidR="005C3AD9" w:rsidRPr="00F663DC">
        <w:rPr>
          <w:highlight w:val="green"/>
        </w:rPr>
        <w:t xml:space="preserve">conference </w:t>
      </w:r>
      <w:r w:rsidR="005C3AD9" w:rsidRPr="005C3AD9">
        <w:rPr>
          <w:highlight w:val="green"/>
        </w:rPr>
        <w:t>room, and other central area</w:t>
      </w:r>
      <w:r w:rsidR="005C3AD9">
        <w:rPr>
          <w:highlight w:val="green"/>
        </w:rPr>
        <w:t>s</w:t>
      </w:r>
    </w:p>
    <w:p w14:paraId="6B6DD101" w14:textId="77777777" w:rsidR="001778EC" w:rsidRPr="00853D9D" w:rsidRDefault="001778EC" w:rsidP="00C87D69">
      <w:pPr>
        <w:ind w:left="360"/>
        <w:rPr>
          <w:b/>
          <w:u w:val="single"/>
        </w:rPr>
      </w:pPr>
      <w:r w:rsidRPr="00853D9D">
        <w:rPr>
          <w:b/>
          <w:highlight w:val="green"/>
        </w:rPr>
        <w:t>-or-</w:t>
      </w:r>
    </w:p>
    <w:p w14:paraId="6EF805A0" w14:textId="77777777" w:rsidR="001778EC" w:rsidRPr="00C87D69" w:rsidRDefault="001778EC" w:rsidP="00E9680B">
      <w:pPr>
        <w:numPr>
          <w:ilvl w:val="0"/>
          <w:numId w:val="3"/>
        </w:numPr>
        <w:rPr>
          <w:b/>
          <w:u w:val="single"/>
        </w:rPr>
      </w:pPr>
      <w:r w:rsidRPr="00BD7ECC">
        <w:rPr>
          <w:b/>
          <w:color w:val="0000FF"/>
        </w:rPr>
        <w:t>Recycl</w:t>
      </w:r>
      <w:r w:rsidR="005C3AD9">
        <w:rPr>
          <w:b/>
          <w:color w:val="0000FF"/>
        </w:rPr>
        <w:t>ables</w:t>
      </w:r>
      <w:r w:rsidRPr="00BD7ECC">
        <w:rPr>
          <w:color w:val="0000FF"/>
        </w:rPr>
        <w:t xml:space="preserve"> </w:t>
      </w:r>
      <w:r>
        <w:t xml:space="preserve">will be collected from each desk.  Please deposit </w:t>
      </w:r>
      <w:r w:rsidRPr="00BD7ECC">
        <w:rPr>
          <w:b/>
        </w:rPr>
        <w:t>trash</w:t>
      </w:r>
      <w:r>
        <w:t xml:space="preserve"> and </w:t>
      </w:r>
      <w:r w:rsidRPr="00BD7ECC">
        <w:rPr>
          <w:b/>
          <w:color w:val="008000"/>
        </w:rPr>
        <w:t>compostables</w:t>
      </w:r>
      <w:r w:rsidRPr="00BD7ECC">
        <w:rPr>
          <w:b/>
        </w:rPr>
        <w:t xml:space="preserve"> </w:t>
      </w:r>
      <w:r>
        <w:t xml:space="preserve">in the separate containers located in the </w:t>
      </w:r>
      <w:r w:rsidR="005C3AD9" w:rsidRPr="00F663DC">
        <w:rPr>
          <w:highlight w:val="green"/>
        </w:rPr>
        <w:t>kitchen area</w:t>
      </w:r>
      <w:r w:rsidR="005C3AD9">
        <w:rPr>
          <w:highlight w:val="green"/>
        </w:rPr>
        <w:t xml:space="preserve">, </w:t>
      </w:r>
      <w:r w:rsidR="005C3AD9" w:rsidRPr="00F663DC">
        <w:rPr>
          <w:highlight w:val="green"/>
        </w:rPr>
        <w:t xml:space="preserve">conference </w:t>
      </w:r>
      <w:r w:rsidR="005C3AD9" w:rsidRPr="005C3AD9">
        <w:rPr>
          <w:highlight w:val="green"/>
        </w:rPr>
        <w:t>room, and other central area</w:t>
      </w:r>
      <w:r w:rsidR="005C3AD9">
        <w:rPr>
          <w:highlight w:val="green"/>
        </w:rPr>
        <w:t>s</w:t>
      </w:r>
      <w:r>
        <w:t>.</w:t>
      </w:r>
    </w:p>
    <w:p w14:paraId="3BFCCB7A" w14:textId="77777777" w:rsidR="001778EC" w:rsidRPr="00853D9D" w:rsidRDefault="001778EC" w:rsidP="00C87D69">
      <w:pPr>
        <w:ind w:left="360"/>
        <w:rPr>
          <w:b/>
          <w:u w:val="single"/>
        </w:rPr>
      </w:pPr>
      <w:r w:rsidRPr="00853D9D">
        <w:rPr>
          <w:b/>
          <w:highlight w:val="green"/>
        </w:rPr>
        <w:t>-or-</w:t>
      </w:r>
    </w:p>
    <w:p w14:paraId="6C16E700" w14:textId="77777777" w:rsidR="001778EC" w:rsidRPr="005C3AD9" w:rsidRDefault="001778EC" w:rsidP="00E9680B">
      <w:pPr>
        <w:numPr>
          <w:ilvl w:val="0"/>
          <w:numId w:val="3"/>
        </w:numPr>
        <w:rPr>
          <w:b/>
          <w:u w:val="single"/>
        </w:rPr>
      </w:pPr>
      <w:r w:rsidRPr="00BD7ECC">
        <w:rPr>
          <w:b/>
          <w:color w:val="0000FF"/>
        </w:rPr>
        <w:t>Recycl</w:t>
      </w:r>
      <w:r w:rsidR="005C3AD9">
        <w:rPr>
          <w:b/>
          <w:color w:val="0000FF"/>
        </w:rPr>
        <w:t>ables</w:t>
      </w:r>
      <w:r w:rsidRPr="00BD7ECC">
        <w:rPr>
          <w:b/>
          <w:color w:val="0000FF"/>
        </w:rPr>
        <w:t xml:space="preserve"> </w:t>
      </w:r>
      <w:r>
        <w:t xml:space="preserve">and </w:t>
      </w:r>
      <w:r w:rsidRPr="00BD7ECC">
        <w:rPr>
          <w:b/>
        </w:rPr>
        <w:t xml:space="preserve">trash </w:t>
      </w:r>
      <w:r>
        <w:t xml:space="preserve">will be collected from each desk.  Please deposit </w:t>
      </w:r>
      <w:r w:rsidRPr="00BD7ECC">
        <w:rPr>
          <w:b/>
          <w:color w:val="008000"/>
        </w:rPr>
        <w:t>compostables</w:t>
      </w:r>
      <w:r>
        <w:t xml:space="preserve"> in the central containers located in the </w:t>
      </w:r>
      <w:r w:rsidR="005C3AD9" w:rsidRPr="00F663DC">
        <w:rPr>
          <w:highlight w:val="green"/>
        </w:rPr>
        <w:t>kitchen area</w:t>
      </w:r>
      <w:r w:rsidR="005C3AD9">
        <w:rPr>
          <w:highlight w:val="green"/>
        </w:rPr>
        <w:t xml:space="preserve">, </w:t>
      </w:r>
      <w:r w:rsidR="005C3AD9" w:rsidRPr="00F663DC">
        <w:rPr>
          <w:highlight w:val="green"/>
        </w:rPr>
        <w:t xml:space="preserve">conference </w:t>
      </w:r>
      <w:r w:rsidR="005C3AD9" w:rsidRPr="005C3AD9">
        <w:rPr>
          <w:highlight w:val="green"/>
        </w:rPr>
        <w:t>room, and other central area</w:t>
      </w:r>
      <w:r w:rsidR="005C3AD9">
        <w:rPr>
          <w:highlight w:val="green"/>
        </w:rPr>
        <w:t>s</w:t>
      </w:r>
      <w:r w:rsidRPr="00D04A60">
        <w:rPr>
          <w:highlight w:val="green"/>
        </w:rPr>
        <w:t>.</w:t>
      </w:r>
    </w:p>
    <w:p w14:paraId="45A8E97B" w14:textId="77777777" w:rsidR="005C3AD9" w:rsidRPr="00853D9D" w:rsidRDefault="005C3AD9" w:rsidP="005C3AD9">
      <w:pPr>
        <w:ind w:left="360"/>
        <w:rPr>
          <w:b/>
          <w:u w:val="single"/>
        </w:rPr>
      </w:pPr>
      <w:r w:rsidRPr="00853D9D">
        <w:rPr>
          <w:b/>
          <w:highlight w:val="green"/>
        </w:rPr>
        <w:t>-or-</w:t>
      </w:r>
    </w:p>
    <w:p w14:paraId="7C11DE89" w14:textId="77777777" w:rsidR="002B079F" w:rsidRPr="00853D9D" w:rsidRDefault="005C3AD9" w:rsidP="002B079F">
      <w:pPr>
        <w:numPr>
          <w:ilvl w:val="0"/>
          <w:numId w:val="3"/>
        </w:numPr>
        <w:rPr>
          <w:b/>
          <w:u w:val="single"/>
        </w:rPr>
      </w:pPr>
      <w:r w:rsidRPr="00BD7ECC">
        <w:rPr>
          <w:b/>
          <w:color w:val="0000FF"/>
        </w:rPr>
        <w:t>Recycl</w:t>
      </w:r>
      <w:r>
        <w:rPr>
          <w:b/>
          <w:color w:val="0000FF"/>
        </w:rPr>
        <w:t xml:space="preserve">ables, </w:t>
      </w:r>
      <w:r w:rsidRPr="00BD7ECC">
        <w:rPr>
          <w:b/>
          <w:color w:val="008000"/>
        </w:rPr>
        <w:t>compostable</w:t>
      </w:r>
      <w:r>
        <w:rPr>
          <w:b/>
          <w:color w:val="008000"/>
        </w:rPr>
        <w:t>s</w:t>
      </w:r>
      <w:r w:rsidRPr="005C3AD9">
        <w:t>, and</w:t>
      </w:r>
      <w:r>
        <w:rPr>
          <w:b/>
          <w:color w:val="008000"/>
        </w:rPr>
        <w:t xml:space="preserve"> </w:t>
      </w:r>
      <w:r w:rsidRPr="00BD7ECC">
        <w:rPr>
          <w:b/>
        </w:rPr>
        <w:t>trash</w:t>
      </w:r>
      <w:r>
        <w:rPr>
          <w:b/>
        </w:rPr>
        <w:t xml:space="preserve"> </w:t>
      </w:r>
      <w:r>
        <w:t xml:space="preserve">will be collected from each desk.  </w:t>
      </w:r>
    </w:p>
    <w:p w14:paraId="54931937" w14:textId="77777777" w:rsidR="001778EC" w:rsidRDefault="001778EC" w:rsidP="00912DF4">
      <w:pPr>
        <w:ind w:left="360"/>
        <w:rPr>
          <w:b/>
          <w:u w:val="single"/>
        </w:rPr>
      </w:pPr>
    </w:p>
    <w:p w14:paraId="2A3B3F1B" w14:textId="77777777" w:rsidR="001778EC" w:rsidRDefault="001778EC" w:rsidP="00E37F0A">
      <w:pPr>
        <w:rPr>
          <w:b/>
          <w:u w:val="single"/>
        </w:rPr>
      </w:pPr>
      <w:r w:rsidRPr="00912DF4">
        <w:rPr>
          <w:b/>
          <w:highlight w:val="green"/>
          <w:u w:val="single"/>
        </w:rPr>
        <w:t>Central Collection:</w:t>
      </w:r>
    </w:p>
    <w:p w14:paraId="3DF0A668" w14:textId="77777777" w:rsidR="001778EC" w:rsidRDefault="001778EC" w:rsidP="00E37F0A">
      <w:pPr>
        <w:rPr>
          <w:b/>
        </w:rPr>
      </w:pPr>
      <w:r w:rsidRPr="00487AD2">
        <w:rPr>
          <w:b/>
          <w:i/>
          <w:highlight w:val="green"/>
        </w:rPr>
        <w:t>Most properties offer centralized collection containers for recyclables, compostables, and trash.</w:t>
      </w:r>
      <w:r>
        <w:rPr>
          <w:b/>
          <w:i/>
        </w:rPr>
        <w:t xml:space="preserve">  </w:t>
      </w:r>
      <w:r w:rsidRPr="00487AD2">
        <w:rPr>
          <w:b/>
          <w:i/>
          <w:highlight w:val="green"/>
        </w:rPr>
        <w:t>Indicate if your property offers these containers and where they are located</w:t>
      </w:r>
      <w:r>
        <w:rPr>
          <w:b/>
          <w:i/>
          <w:highlight w:val="green"/>
        </w:rPr>
        <w:t>, using the text below as a template</w:t>
      </w:r>
      <w:r w:rsidRPr="00487AD2">
        <w:rPr>
          <w:b/>
          <w:i/>
          <w:highlight w:val="green"/>
        </w:rPr>
        <w:t>.</w:t>
      </w:r>
      <w:r w:rsidRPr="00487AD2">
        <w:rPr>
          <w:b/>
          <w:i/>
        </w:rPr>
        <w:t xml:space="preserve">  </w:t>
      </w:r>
    </w:p>
    <w:p w14:paraId="542CB514" w14:textId="77777777" w:rsidR="001778EC" w:rsidRPr="00487AD2" w:rsidRDefault="001778EC" w:rsidP="00E37F0A">
      <w:r>
        <w:t xml:space="preserve">Containers for the collection of </w:t>
      </w:r>
      <w:r w:rsidRPr="00F663DC">
        <w:rPr>
          <w:b/>
        </w:rPr>
        <w:t>trash</w:t>
      </w:r>
      <w:r w:rsidRPr="00487AD2">
        <w:t xml:space="preserve">, </w:t>
      </w:r>
      <w:r w:rsidRPr="00F663DC">
        <w:rPr>
          <w:b/>
          <w:color w:val="0000FF"/>
        </w:rPr>
        <w:t>recyclables</w:t>
      </w:r>
      <w:r w:rsidRPr="00487AD2">
        <w:t xml:space="preserve"> and </w:t>
      </w:r>
      <w:r w:rsidRPr="00AA16F0">
        <w:rPr>
          <w:b/>
          <w:color w:val="385623" w:themeColor="accent6" w:themeShade="80"/>
        </w:rPr>
        <w:t>compostables</w:t>
      </w:r>
      <w:r w:rsidRPr="00487AD2">
        <w:t xml:space="preserve"> </w:t>
      </w:r>
      <w:r>
        <w:t xml:space="preserve">are located in the </w:t>
      </w:r>
      <w:bookmarkStart w:id="5" w:name="OLE_LINK1"/>
      <w:bookmarkStart w:id="6" w:name="OLE_LINK2"/>
      <w:r w:rsidRPr="00F663DC">
        <w:rPr>
          <w:highlight w:val="green"/>
        </w:rPr>
        <w:t>kitchen area</w:t>
      </w:r>
      <w:r w:rsidR="005C3AD9">
        <w:rPr>
          <w:highlight w:val="green"/>
        </w:rPr>
        <w:t xml:space="preserve">, </w:t>
      </w:r>
      <w:r w:rsidRPr="00F663DC">
        <w:rPr>
          <w:highlight w:val="green"/>
        </w:rPr>
        <w:t xml:space="preserve">conference </w:t>
      </w:r>
      <w:r w:rsidRPr="005C3AD9">
        <w:rPr>
          <w:highlight w:val="green"/>
        </w:rPr>
        <w:t>room</w:t>
      </w:r>
      <w:r w:rsidR="005C3AD9" w:rsidRPr="005C3AD9">
        <w:rPr>
          <w:highlight w:val="green"/>
        </w:rPr>
        <w:t>, and other central area</w:t>
      </w:r>
      <w:r w:rsidR="005C3AD9">
        <w:rPr>
          <w:highlight w:val="green"/>
        </w:rPr>
        <w:t>s</w:t>
      </w:r>
      <w:bookmarkEnd w:id="5"/>
      <w:bookmarkEnd w:id="6"/>
      <w:r w:rsidRPr="005C3AD9">
        <w:rPr>
          <w:highlight w:val="green"/>
        </w:rPr>
        <w:t>.</w:t>
      </w:r>
      <w:r>
        <w:t xml:space="preserve">  Please keep your materials separate; see details below about what goes in each container.  The three containers will be emptied </w:t>
      </w:r>
      <w:r w:rsidRPr="00487AD2">
        <w:rPr>
          <w:highlight w:val="green"/>
        </w:rPr>
        <w:t>daily.</w:t>
      </w:r>
    </w:p>
    <w:p w14:paraId="522B9D2D" w14:textId="77777777" w:rsidR="001778EC" w:rsidRPr="00E9680B" w:rsidRDefault="001778EC" w:rsidP="00E37F0A">
      <w:pPr>
        <w:rPr>
          <w:b/>
          <w:u w:val="single"/>
        </w:rPr>
      </w:pPr>
      <w:r>
        <w:rPr>
          <w:b/>
          <w:u w:val="single"/>
        </w:rPr>
        <w:t xml:space="preserve"> </w:t>
      </w:r>
    </w:p>
    <w:p w14:paraId="6E39AA2D" w14:textId="77777777" w:rsidR="001778EC" w:rsidRPr="007E29EA" w:rsidRDefault="001778EC" w:rsidP="007E29EA">
      <w:pPr>
        <w:jc w:val="center"/>
        <w:rPr>
          <w:b/>
          <w:bCs/>
          <w:color w:val="000000"/>
          <w:sz w:val="28"/>
          <w:szCs w:val="28"/>
        </w:rPr>
      </w:pPr>
      <w:r w:rsidRPr="007E29EA">
        <w:rPr>
          <w:b/>
          <w:bCs/>
          <w:color w:val="000000"/>
          <w:sz w:val="28"/>
          <w:szCs w:val="28"/>
        </w:rPr>
        <w:t>What Goes in Each Container?</w:t>
      </w:r>
    </w:p>
    <w:p w14:paraId="35427097" w14:textId="77777777" w:rsidR="001778EC" w:rsidRPr="00F663DC" w:rsidRDefault="001778EC" w:rsidP="00DF76D8">
      <w:pPr>
        <w:rPr>
          <w:color w:val="0000FF"/>
        </w:rPr>
      </w:pPr>
      <w:r w:rsidRPr="00F663DC">
        <w:rPr>
          <w:b/>
          <w:bCs/>
          <w:color w:val="0000FF"/>
        </w:rPr>
        <w:t>Recyclables</w:t>
      </w:r>
    </w:p>
    <w:p w14:paraId="50E62E97" w14:textId="66ABA8F9" w:rsidR="001778EC" w:rsidRPr="007E29EA" w:rsidRDefault="002A2D9D" w:rsidP="00DF76D8">
      <w:r>
        <w:rPr>
          <w:noProof/>
          <w:lang w:eastAsia="en-US"/>
        </w:rPr>
        <w:drawing>
          <wp:anchor distT="0" distB="0" distL="114300" distR="114300" simplePos="0" relativeHeight="251656704" behindDoc="1" locked="0" layoutInCell="1" allowOverlap="1" wp14:anchorId="173D7DB1" wp14:editId="416A03F3">
            <wp:simplePos x="0" y="0"/>
            <wp:positionH relativeFrom="column">
              <wp:posOffset>-19050</wp:posOffset>
            </wp:positionH>
            <wp:positionV relativeFrom="paragraph">
              <wp:posOffset>30480</wp:posOffset>
            </wp:positionV>
            <wp:extent cx="1017270" cy="1057275"/>
            <wp:effectExtent l="0" t="0" r="0" b="0"/>
            <wp:wrapTight wrapText="bothSides">
              <wp:wrapPolygon edited="0">
                <wp:start x="0" y="0"/>
                <wp:lineTo x="0" y="21405"/>
                <wp:lineTo x="21034" y="21405"/>
                <wp:lineTo x="21034" y="0"/>
                <wp:lineTo x="0" y="0"/>
              </wp:wrapPolygon>
            </wp:wrapTight>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C" w:rsidRPr="007E29EA">
        <w:rPr>
          <w:b/>
          <w:color w:val="0000FF"/>
        </w:rPr>
        <w:t xml:space="preserve">All clean </w:t>
      </w:r>
      <w:r w:rsidR="001778EC">
        <w:rPr>
          <w:b/>
          <w:color w:val="0000FF"/>
        </w:rPr>
        <w:t xml:space="preserve">office </w:t>
      </w:r>
      <w:r w:rsidR="001778EC" w:rsidRPr="007E29EA">
        <w:rPr>
          <w:b/>
          <w:color w:val="0000FF"/>
        </w:rPr>
        <w:t>paper, glass bottles and</w:t>
      </w:r>
      <w:r w:rsidR="001778EC">
        <w:rPr>
          <w:b/>
          <w:color w:val="0000FF"/>
        </w:rPr>
        <w:t xml:space="preserve"> jars, aluminum foil and cans, </w:t>
      </w:r>
      <w:r w:rsidR="001778EC" w:rsidRPr="007E29EA">
        <w:rPr>
          <w:b/>
          <w:color w:val="0000FF"/>
        </w:rPr>
        <w:t xml:space="preserve">steel/tin cans, and </w:t>
      </w:r>
      <w:r w:rsidR="001778EC" w:rsidRPr="00F663DC">
        <w:rPr>
          <w:b/>
          <w:color w:val="0000FF"/>
        </w:rPr>
        <w:t>almost</w:t>
      </w:r>
      <w:r w:rsidR="001778EC" w:rsidRPr="007E29EA">
        <w:rPr>
          <w:b/>
          <w:color w:val="0000FF"/>
        </w:rPr>
        <w:t xml:space="preserve"> all plastics (no soft plastics like bags and wrappers) belong in the blue containers</w:t>
      </w:r>
      <w:r w:rsidR="001778EC" w:rsidRPr="007E29EA">
        <w:t xml:space="preserve">.  Please empty food or liquid from recyclables before depositing in blue </w:t>
      </w:r>
      <w:r w:rsidR="001778EC">
        <w:t>recycling container</w:t>
      </w:r>
      <w:r w:rsidR="001778EC" w:rsidRPr="007E29EA">
        <w:t xml:space="preserve">.  </w:t>
      </w:r>
    </w:p>
    <w:p w14:paraId="2996399D" w14:textId="77777777" w:rsidR="001778EC" w:rsidRPr="007E29EA" w:rsidRDefault="001778EC" w:rsidP="00DF76D8"/>
    <w:p w14:paraId="032CFEF3" w14:textId="77777777" w:rsidR="001778EC" w:rsidRPr="007E29EA" w:rsidRDefault="001778EC" w:rsidP="00BF6739">
      <w:pPr>
        <w:ind w:left="1710" w:hanging="1710"/>
        <w:rPr>
          <w:i/>
        </w:rPr>
      </w:pPr>
      <w:r w:rsidRPr="007E29EA">
        <w:rPr>
          <w:i/>
        </w:rPr>
        <w:t xml:space="preserve">All recyclable material is sent to </w:t>
      </w:r>
      <w:r w:rsidR="00BF6739">
        <w:rPr>
          <w:i/>
        </w:rPr>
        <w:t>a material recovery facility</w:t>
      </w:r>
      <w:r w:rsidRPr="007E29EA">
        <w:rPr>
          <w:i/>
        </w:rPr>
        <w:t xml:space="preserve"> for sorting into separate commodities, which are then sold to recyclers and made into other products. </w:t>
      </w:r>
    </w:p>
    <w:p w14:paraId="703D6B9E" w14:textId="77777777" w:rsidR="001778EC" w:rsidRPr="007E29EA" w:rsidRDefault="001778EC" w:rsidP="00DF76D8">
      <w:pPr>
        <w:rPr>
          <w:b/>
          <w:bCs/>
          <w:color w:val="000000"/>
        </w:rPr>
      </w:pPr>
    </w:p>
    <w:p w14:paraId="7F568734" w14:textId="77777777" w:rsidR="001778EC" w:rsidRPr="00F663DC" w:rsidRDefault="001778EC" w:rsidP="00DF76D8">
      <w:pPr>
        <w:rPr>
          <w:color w:val="339966"/>
        </w:rPr>
      </w:pPr>
      <w:r w:rsidRPr="00AA16F0">
        <w:rPr>
          <w:b/>
          <w:bCs/>
          <w:color w:val="385623" w:themeColor="accent6" w:themeShade="80"/>
        </w:rPr>
        <w:t>Compostables</w:t>
      </w:r>
      <w:bookmarkStart w:id="7" w:name="_GoBack"/>
      <w:bookmarkEnd w:id="7"/>
    </w:p>
    <w:p w14:paraId="358DE1EF" w14:textId="6762F5A1" w:rsidR="001778EC" w:rsidRPr="007E29EA" w:rsidRDefault="002A2D9D" w:rsidP="00DF76D8">
      <w:r>
        <w:rPr>
          <w:noProof/>
          <w:lang w:eastAsia="en-US"/>
        </w:rPr>
        <w:drawing>
          <wp:anchor distT="0" distB="0" distL="114300" distR="114300" simplePos="0" relativeHeight="251657728" behindDoc="1" locked="0" layoutInCell="1" allowOverlap="1" wp14:anchorId="2D0BA134" wp14:editId="162E285E">
            <wp:simplePos x="0" y="0"/>
            <wp:positionH relativeFrom="column">
              <wp:posOffset>-19050</wp:posOffset>
            </wp:positionH>
            <wp:positionV relativeFrom="paragraph">
              <wp:posOffset>137795</wp:posOffset>
            </wp:positionV>
            <wp:extent cx="842645" cy="1133475"/>
            <wp:effectExtent l="0" t="0" r="0" b="0"/>
            <wp:wrapTight wrapText="bothSides">
              <wp:wrapPolygon edited="0">
                <wp:start x="0" y="0"/>
                <wp:lineTo x="0" y="21418"/>
                <wp:lineTo x="20998" y="21418"/>
                <wp:lineTo x="20998" y="0"/>
                <wp:lineTo x="0" y="0"/>
              </wp:wrapPolygon>
            </wp:wrapTight>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C" w:rsidRPr="007E29EA">
        <w:t>Most of the material that used to go in the trash, can now be composted including</w:t>
      </w:r>
      <w:r w:rsidR="001778EC" w:rsidRPr="00AA16F0">
        <w:rPr>
          <w:b/>
          <w:color w:val="385623" w:themeColor="accent6" w:themeShade="80"/>
        </w:rPr>
        <w:t xml:space="preserve"> paper take-out containers, paper coffee cups, used napkins, used tissues, used paper towels, milk cartons, left-over food,  and compostable plastics.</w:t>
      </w:r>
      <w:r w:rsidR="001778EC" w:rsidRPr="007E29EA">
        <w:rPr>
          <w:color w:val="00FF00"/>
        </w:rPr>
        <w:t xml:space="preserve"> </w:t>
      </w:r>
      <w:r w:rsidR="001778EC" w:rsidRPr="007E29EA">
        <w:rPr>
          <w:b/>
        </w:rPr>
        <w:t xml:space="preserve"> </w:t>
      </w:r>
      <w:r w:rsidR="001778EC" w:rsidRPr="007E29EA">
        <w:t>Remember composting is not just for food scraps but also for soiled paper and paper food packaging- think coffee cups, napkins, and to-go boxes!</w:t>
      </w:r>
    </w:p>
    <w:p w14:paraId="1F215409" w14:textId="77777777" w:rsidR="001778EC" w:rsidRPr="007E29EA" w:rsidRDefault="001778EC" w:rsidP="00DF76D8">
      <w:pPr>
        <w:ind w:left="360"/>
        <w:rPr>
          <w:i/>
        </w:rPr>
      </w:pPr>
    </w:p>
    <w:p w14:paraId="5CA19850" w14:textId="77777777" w:rsidR="001778EC" w:rsidRPr="007E29EA" w:rsidRDefault="001778EC" w:rsidP="00DF76D8">
      <w:pPr>
        <w:rPr>
          <w:i/>
        </w:rPr>
      </w:pPr>
      <w:r w:rsidRPr="007E29EA">
        <w:rPr>
          <w:i/>
        </w:rPr>
        <w:t xml:space="preserve">All compostable material is sent to </w:t>
      </w:r>
      <w:r w:rsidR="00BF6739">
        <w:rPr>
          <w:i/>
        </w:rPr>
        <w:t xml:space="preserve">a </w:t>
      </w:r>
      <w:r w:rsidR="00BF6739" w:rsidRPr="00BF6739">
        <w:rPr>
          <w:i/>
          <w:highlight w:val="green"/>
        </w:rPr>
        <w:t>[composting facility]</w:t>
      </w:r>
      <w:r w:rsidRPr="007E29EA">
        <w:rPr>
          <w:i/>
        </w:rPr>
        <w:t xml:space="preserve"> where it is turned into compost, a nutrient for local, organic agriculture. </w:t>
      </w:r>
    </w:p>
    <w:p w14:paraId="3E5D13FF" w14:textId="77777777" w:rsidR="001778EC" w:rsidRPr="007E29EA" w:rsidRDefault="001778EC" w:rsidP="00DF76D8">
      <w:pPr>
        <w:pStyle w:val="Heading1"/>
        <w:numPr>
          <w:ilvl w:val="0"/>
          <w:numId w:val="0"/>
        </w:numPr>
        <w:rPr>
          <w:rFonts w:ascii="Times New Roman" w:hAnsi="Times New Roman" w:cs="Times New Roman"/>
          <w:b/>
          <w:bCs/>
          <w:color w:val="auto"/>
          <w:sz w:val="24"/>
          <w:szCs w:val="24"/>
          <w:u w:val="none"/>
        </w:rPr>
      </w:pPr>
    </w:p>
    <w:p w14:paraId="13D4FCCC" w14:textId="77777777" w:rsidR="001778EC" w:rsidRPr="007E29EA" w:rsidRDefault="001778EC" w:rsidP="00DF76D8">
      <w:pPr>
        <w:pStyle w:val="Heading1"/>
        <w:numPr>
          <w:ilvl w:val="0"/>
          <w:numId w:val="0"/>
        </w:numPr>
        <w:rPr>
          <w:rFonts w:ascii="Times New Roman" w:hAnsi="Times New Roman" w:cs="Times New Roman"/>
          <w:b/>
          <w:bCs/>
          <w:color w:val="auto"/>
          <w:sz w:val="24"/>
          <w:szCs w:val="24"/>
          <w:u w:val="none"/>
        </w:rPr>
      </w:pPr>
      <w:r w:rsidRPr="007E29EA">
        <w:rPr>
          <w:rFonts w:ascii="Times New Roman" w:hAnsi="Times New Roman" w:cs="Times New Roman"/>
          <w:b/>
          <w:bCs/>
          <w:color w:val="auto"/>
          <w:sz w:val="24"/>
          <w:szCs w:val="24"/>
          <w:u w:val="none"/>
        </w:rPr>
        <w:t>Garbage</w:t>
      </w:r>
    </w:p>
    <w:p w14:paraId="6CF2EBCF" w14:textId="4BA92AF4" w:rsidR="001778EC" w:rsidRDefault="002A2D9D" w:rsidP="00DF76D8">
      <w:r>
        <w:rPr>
          <w:noProof/>
          <w:lang w:eastAsia="en-US"/>
        </w:rPr>
        <w:drawing>
          <wp:anchor distT="0" distB="0" distL="114300" distR="114300" simplePos="0" relativeHeight="251658752" behindDoc="1" locked="0" layoutInCell="1" allowOverlap="0" wp14:anchorId="323420AF" wp14:editId="03CF5EE4">
            <wp:simplePos x="0" y="0"/>
            <wp:positionH relativeFrom="column">
              <wp:posOffset>0</wp:posOffset>
            </wp:positionH>
            <wp:positionV relativeFrom="paragraph">
              <wp:posOffset>102235</wp:posOffset>
            </wp:positionV>
            <wp:extent cx="742950" cy="742950"/>
            <wp:effectExtent l="0" t="0" r="0" b="0"/>
            <wp:wrapTight wrapText="bothSides">
              <wp:wrapPolygon edited="0">
                <wp:start x="0" y="0"/>
                <wp:lineTo x="0" y="21046"/>
                <wp:lineTo x="21046" y="21046"/>
                <wp:lineTo x="21046" y="0"/>
                <wp:lineTo x="0" y="0"/>
              </wp:wrapPolygon>
            </wp:wrapTight>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8EC" w:rsidRPr="007E29EA">
        <w:t>Very few items actually belong in the trash.  These include:</w:t>
      </w:r>
      <w:r w:rsidR="001778EC" w:rsidRPr="007E29EA">
        <w:rPr>
          <w:b/>
        </w:rPr>
        <w:t xml:space="preserve"> Styrofoam, candy or chip wrappers, plastic wrap, plastic bags, and aseptic packaging (juice boxes/Tetrapaks).</w:t>
      </w:r>
      <w:r w:rsidR="001778EC" w:rsidRPr="007E29EA">
        <w:t xml:space="preserve">   </w:t>
      </w:r>
    </w:p>
    <w:p w14:paraId="3E4D4BE7" w14:textId="77777777" w:rsidR="001778EC" w:rsidRPr="007E29EA" w:rsidRDefault="001778EC" w:rsidP="00DF76D8"/>
    <w:p w14:paraId="36659F61" w14:textId="77777777" w:rsidR="001778EC" w:rsidRPr="007E29EA" w:rsidRDefault="001778EC" w:rsidP="007E175D">
      <w:pPr>
        <w:tabs>
          <w:tab w:val="left" w:pos="6300"/>
        </w:tabs>
        <w:rPr>
          <w:i/>
        </w:rPr>
      </w:pPr>
      <w:r w:rsidRPr="007E29EA">
        <w:rPr>
          <w:i/>
        </w:rPr>
        <w:t xml:space="preserve">Any material put in the garbage will be sent to landfill. </w:t>
      </w:r>
    </w:p>
    <w:p w14:paraId="73A02A7F" w14:textId="77777777" w:rsidR="001778EC" w:rsidRPr="007E29EA" w:rsidRDefault="001778EC" w:rsidP="00DF76D8">
      <w:pPr>
        <w:ind w:left="360"/>
      </w:pPr>
    </w:p>
    <w:p w14:paraId="628B374E" w14:textId="77777777" w:rsidR="001778EC" w:rsidRDefault="001778EC" w:rsidP="00DF76D8">
      <w:pPr>
        <w:rPr>
          <w:highlight w:val="green"/>
        </w:rPr>
      </w:pPr>
      <w:r w:rsidRPr="007E29EA">
        <w:rPr>
          <w:color w:val="000000"/>
        </w:rPr>
        <w:t xml:space="preserve">We hope that you are excited to contribute to the greening of our building and our </w:t>
      </w:r>
      <w:r w:rsidR="00BF6739" w:rsidRPr="00BF6739">
        <w:rPr>
          <w:color w:val="000000"/>
          <w:highlight w:val="green"/>
        </w:rPr>
        <w:t>[City/County]</w:t>
      </w:r>
      <w:r w:rsidRPr="007E29EA">
        <w:rPr>
          <w:color w:val="000000"/>
        </w:rPr>
        <w:t xml:space="preserve">. Full building participation is crucial for this program to be successful! </w:t>
      </w:r>
      <w:r w:rsidRPr="007E29EA">
        <w:rPr>
          <w:bCs/>
          <w:highlight w:val="green"/>
        </w:rPr>
        <w:t>Our target start date will be July 1, watch for additional communication as the date approaches</w:t>
      </w:r>
      <w:r w:rsidRPr="007E29EA">
        <w:rPr>
          <w:highlight w:val="green"/>
        </w:rPr>
        <w:t xml:space="preserve">.  </w:t>
      </w:r>
    </w:p>
    <w:p w14:paraId="11D59E34" w14:textId="77777777" w:rsidR="001778EC" w:rsidRPr="007E29EA" w:rsidRDefault="001778EC">
      <w:r w:rsidRPr="007E29EA">
        <w:rPr>
          <w:highlight w:val="green"/>
        </w:rPr>
        <w:t xml:space="preserve">Please feel free to contact </w:t>
      </w:r>
      <w:r>
        <w:rPr>
          <w:highlight w:val="green"/>
        </w:rPr>
        <w:t>X</w:t>
      </w:r>
      <w:r w:rsidRPr="007E29EA">
        <w:rPr>
          <w:highlight w:val="green"/>
        </w:rPr>
        <w:t xml:space="preserve"> at </w:t>
      </w:r>
      <w:r>
        <w:rPr>
          <w:highlight w:val="green"/>
        </w:rPr>
        <w:t>XXX-XXXX</w:t>
      </w:r>
      <w:r w:rsidRPr="007E29EA">
        <w:rPr>
          <w:highlight w:val="green"/>
        </w:rPr>
        <w:t xml:space="preserve"> should you have any questions.</w:t>
      </w:r>
    </w:p>
    <w:sectPr w:rsidR="001778EC" w:rsidRPr="007E29EA" w:rsidSect="007E29EA">
      <w:pgSz w:w="12240" w:h="15840"/>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pPr>
      <w:rPr>
        <w:rFonts w:cs="Times New Roman"/>
      </w:rPr>
    </w:lvl>
    <w:lvl w:ilvl="1">
      <w:start w:val="1"/>
      <w:numFmt w:val="none"/>
      <w:suff w:val="nothing"/>
      <w:lvlText w:val=""/>
      <w:lvlJc w:val="left"/>
      <w:pPr>
        <w:tabs>
          <w:tab w:val="num" w:pos="360"/>
        </w:tabs>
      </w:pPr>
      <w:rPr>
        <w:rFonts w:cs="Times New Roman"/>
      </w:rPr>
    </w:lvl>
    <w:lvl w:ilvl="2">
      <w:start w:val="1"/>
      <w:numFmt w:val="none"/>
      <w:suff w:val="nothing"/>
      <w:lvlText w:val=""/>
      <w:lvlJc w:val="left"/>
      <w:pPr>
        <w:tabs>
          <w:tab w:val="num" w:pos="360"/>
        </w:tabs>
      </w:pPr>
      <w:rPr>
        <w:rFonts w:cs="Times New Roman"/>
      </w:rPr>
    </w:lvl>
    <w:lvl w:ilvl="3">
      <w:start w:val="1"/>
      <w:numFmt w:val="none"/>
      <w:suff w:val="nothing"/>
      <w:lvlText w:val=""/>
      <w:lvlJc w:val="left"/>
      <w:pPr>
        <w:tabs>
          <w:tab w:val="num" w:pos="360"/>
        </w:tabs>
      </w:pPr>
      <w:rPr>
        <w:rFonts w:cs="Times New Roman"/>
      </w:rPr>
    </w:lvl>
    <w:lvl w:ilvl="4">
      <w:start w:val="1"/>
      <w:numFmt w:val="none"/>
      <w:suff w:val="nothing"/>
      <w:lvlText w:val=""/>
      <w:lvlJc w:val="left"/>
      <w:pPr>
        <w:tabs>
          <w:tab w:val="num" w:pos="360"/>
        </w:tabs>
      </w:pPr>
      <w:rPr>
        <w:rFonts w:cs="Times New Roman"/>
      </w:rPr>
    </w:lvl>
    <w:lvl w:ilvl="5">
      <w:start w:val="1"/>
      <w:numFmt w:val="none"/>
      <w:suff w:val="nothing"/>
      <w:lvlText w:val=""/>
      <w:lvlJc w:val="left"/>
      <w:pPr>
        <w:tabs>
          <w:tab w:val="num" w:pos="360"/>
        </w:tabs>
      </w:pPr>
      <w:rPr>
        <w:rFonts w:cs="Times New Roman"/>
      </w:rPr>
    </w:lvl>
    <w:lvl w:ilvl="6">
      <w:start w:val="1"/>
      <w:numFmt w:val="none"/>
      <w:suff w:val="nothing"/>
      <w:lvlText w:val=""/>
      <w:lvlJc w:val="left"/>
      <w:pPr>
        <w:tabs>
          <w:tab w:val="num" w:pos="360"/>
        </w:tabs>
      </w:pPr>
      <w:rPr>
        <w:rFonts w:cs="Times New Roman"/>
      </w:rPr>
    </w:lvl>
    <w:lvl w:ilvl="7">
      <w:start w:val="1"/>
      <w:numFmt w:val="none"/>
      <w:suff w:val="nothing"/>
      <w:lvlText w:val=""/>
      <w:lvlJc w:val="left"/>
      <w:pPr>
        <w:tabs>
          <w:tab w:val="num" w:pos="360"/>
        </w:tabs>
      </w:pPr>
      <w:rPr>
        <w:rFonts w:cs="Times New Roman"/>
      </w:rPr>
    </w:lvl>
    <w:lvl w:ilvl="8">
      <w:start w:val="1"/>
      <w:numFmt w:val="none"/>
      <w:suff w:val="nothing"/>
      <w:lvlText w:val=""/>
      <w:lvlJc w:val="left"/>
      <w:pPr>
        <w:tabs>
          <w:tab w:val="num" w:pos="360"/>
        </w:tabs>
      </w:pPr>
      <w:rPr>
        <w:rFonts w:cs="Times New Roman"/>
      </w:rPr>
    </w:lvl>
  </w:abstractNum>
  <w:abstractNum w:abstractNumId="1" w15:restartNumberingAfterBreak="0">
    <w:nsid w:val="58ED34C4"/>
    <w:multiLevelType w:val="hybridMultilevel"/>
    <w:tmpl w:val="BF8E4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E35373C"/>
    <w:multiLevelType w:val="hybridMultilevel"/>
    <w:tmpl w:val="916435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FF"/>
    <w:rsid w:val="00012B89"/>
    <w:rsid w:val="0001713E"/>
    <w:rsid w:val="000A0E6A"/>
    <w:rsid w:val="000D1CF0"/>
    <w:rsid w:val="000E3198"/>
    <w:rsid w:val="001360CA"/>
    <w:rsid w:val="001778EC"/>
    <w:rsid w:val="00185B5B"/>
    <w:rsid w:val="001D182F"/>
    <w:rsid w:val="001E0BC5"/>
    <w:rsid w:val="001E3DFC"/>
    <w:rsid w:val="00206BB7"/>
    <w:rsid w:val="00212DEC"/>
    <w:rsid w:val="00214EAB"/>
    <w:rsid w:val="00225BBC"/>
    <w:rsid w:val="002657C8"/>
    <w:rsid w:val="002A2D9D"/>
    <w:rsid w:val="002A30FF"/>
    <w:rsid w:val="002B079F"/>
    <w:rsid w:val="002D68D6"/>
    <w:rsid w:val="003078EB"/>
    <w:rsid w:val="00320F8E"/>
    <w:rsid w:val="00331519"/>
    <w:rsid w:val="003355E8"/>
    <w:rsid w:val="00363322"/>
    <w:rsid w:val="003B4E19"/>
    <w:rsid w:val="003C05FE"/>
    <w:rsid w:val="00487AD2"/>
    <w:rsid w:val="0054564A"/>
    <w:rsid w:val="005C3AD9"/>
    <w:rsid w:val="0060280E"/>
    <w:rsid w:val="00653564"/>
    <w:rsid w:val="00671DB6"/>
    <w:rsid w:val="006B10EE"/>
    <w:rsid w:val="006D3A2B"/>
    <w:rsid w:val="007040DF"/>
    <w:rsid w:val="00714A95"/>
    <w:rsid w:val="00791DCD"/>
    <w:rsid w:val="007E175D"/>
    <w:rsid w:val="007E29EA"/>
    <w:rsid w:val="008426CB"/>
    <w:rsid w:val="00853D9D"/>
    <w:rsid w:val="0085676B"/>
    <w:rsid w:val="00881D0E"/>
    <w:rsid w:val="0089230F"/>
    <w:rsid w:val="00896759"/>
    <w:rsid w:val="008E220C"/>
    <w:rsid w:val="00905AB5"/>
    <w:rsid w:val="00912DF4"/>
    <w:rsid w:val="0094683F"/>
    <w:rsid w:val="009575D5"/>
    <w:rsid w:val="009906FE"/>
    <w:rsid w:val="009A135D"/>
    <w:rsid w:val="009B32C6"/>
    <w:rsid w:val="00A163C3"/>
    <w:rsid w:val="00AA16F0"/>
    <w:rsid w:val="00AB7782"/>
    <w:rsid w:val="00AF5530"/>
    <w:rsid w:val="00B0069A"/>
    <w:rsid w:val="00B22FDC"/>
    <w:rsid w:val="00B32EA4"/>
    <w:rsid w:val="00B415FA"/>
    <w:rsid w:val="00B85B79"/>
    <w:rsid w:val="00BA79F2"/>
    <w:rsid w:val="00BD7ECC"/>
    <w:rsid w:val="00BF6739"/>
    <w:rsid w:val="00C012F5"/>
    <w:rsid w:val="00C70481"/>
    <w:rsid w:val="00C7199A"/>
    <w:rsid w:val="00C82E3A"/>
    <w:rsid w:val="00C87D69"/>
    <w:rsid w:val="00CE4EE3"/>
    <w:rsid w:val="00D04A60"/>
    <w:rsid w:val="00DC1D46"/>
    <w:rsid w:val="00DF76D8"/>
    <w:rsid w:val="00E37F0A"/>
    <w:rsid w:val="00E7111A"/>
    <w:rsid w:val="00E9354B"/>
    <w:rsid w:val="00E9680B"/>
    <w:rsid w:val="00EA4DBA"/>
    <w:rsid w:val="00EB19A8"/>
    <w:rsid w:val="00EF6DDD"/>
    <w:rsid w:val="00F663DC"/>
    <w:rsid w:val="00FE2D33"/>
    <w:rsid w:val="00FF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54D3C"/>
  <w15:chartTrackingRefBased/>
  <w15:docId w15:val="{AACB6DFE-6748-4979-A0C0-8345A21B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30FF"/>
    <w:pPr>
      <w:suppressAutoHyphens/>
    </w:pPr>
    <w:rPr>
      <w:sz w:val="24"/>
      <w:szCs w:val="24"/>
      <w:lang w:eastAsia="ar-SA"/>
    </w:rPr>
  </w:style>
  <w:style w:type="paragraph" w:styleId="Heading1">
    <w:name w:val="heading 1"/>
    <w:basedOn w:val="Normal"/>
    <w:next w:val="Normal"/>
    <w:qFormat/>
    <w:rsid w:val="00DF76D8"/>
    <w:pPr>
      <w:keepNext/>
      <w:numPr>
        <w:numId w:val="1"/>
      </w:numPr>
      <w:ind w:left="360"/>
      <w:outlineLvl w:val="0"/>
    </w:pPr>
    <w:rPr>
      <w:rFonts w:ascii="Arial" w:hAnsi="Arial" w:cs="Arial"/>
      <w:color w:val="008000"/>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Subtitle"/>
    <w:qFormat/>
    <w:rsid w:val="002A30FF"/>
    <w:pPr>
      <w:jc w:val="center"/>
    </w:pPr>
    <w:rPr>
      <w:rFonts w:ascii="Arial" w:hAnsi="Arial" w:cs="Arial"/>
      <w:color w:val="008000"/>
      <w:szCs w:val="22"/>
      <w:u w:val="single"/>
    </w:rPr>
  </w:style>
  <w:style w:type="paragraph" w:styleId="Subtitle">
    <w:name w:val="Subtitle"/>
    <w:basedOn w:val="Normal"/>
    <w:qFormat/>
    <w:rsid w:val="002A30FF"/>
    <w:pPr>
      <w:spacing w:after="60"/>
      <w:jc w:val="center"/>
      <w:outlineLvl w:val="1"/>
    </w:pPr>
    <w:rPr>
      <w:rFonts w:ascii="Arial" w:hAnsi="Arial" w:cs="Arial"/>
    </w:rPr>
  </w:style>
  <w:style w:type="character" w:styleId="Hyperlink">
    <w:name w:val="Hyperlink"/>
    <w:rsid w:val="009A135D"/>
    <w:rPr>
      <w:rFonts w:cs="Times New Roman"/>
      <w:color w:val="0000FF"/>
      <w:u w:val="single"/>
    </w:rPr>
  </w:style>
  <w:style w:type="paragraph" w:customStyle="1" w:styleId="To">
    <w:name w:val="To"/>
    <w:basedOn w:val="Normal"/>
    <w:rsid w:val="007040DF"/>
    <w:pPr>
      <w:suppressAutoHyphens w:val="0"/>
      <w:ind w:left="900" w:hanging="900"/>
    </w:pPr>
    <w:rPr>
      <w:szCs w:val="20"/>
      <w:lang w:eastAsia="en-US"/>
    </w:rPr>
  </w:style>
  <w:style w:type="paragraph" w:customStyle="1" w:styleId="From">
    <w:name w:val="From"/>
    <w:basedOn w:val="To"/>
    <w:rsid w:val="007040DF"/>
    <w:pPr>
      <w:spacing w:before="240"/>
    </w:pPr>
  </w:style>
  <w:style w:type="paragraph" w:styleId="Date">
    <w:name w:val="Date"/>
    <w:basedOn w:val="From"/>
    <w:rsid w:val="007040DF"/>
    <w:pPr>
      <w:spacing w:after="240"/>
    </w:pPr>
  </w:style>
  <w:style w:type="paragraph" w:customStyle="1" w:styleId="Subject">
    <w:name w:val="Subject"/>
    <w:basedOn w:val="From"/>
    <w:rsid w:val="007040DF"/>
    <w:pPr>
      <w:spacing w:before="0" w:after="840"/>
    </w:pPr>
  </w:style>
  <w:style w:type="paragraph" w:styleId="BodyText">
    <w:name w:val="Body Text"/>
    <w:basedOn w:val="Subject"/>
    <w:rsid w:val="007040DF"/>
    <w:pPr>
      <w:spacing w:after="240"/>
      <w:ind w:left="0" w:firstLine="0"/>
    </w:pPr>
  </w:style>
  <w:style w:type="paragraph" w:styleId="BalloonText">
    <w:name w:val="Balloon Text"/>
    <w:basedOn w:val="Normal"/>
    <w:link w:val="BalloonTextChar"/>
    <w:rsid w:val="00FE2D33"/>
    <w:rPr>
      <w:rFonts w:ascii="Tahoma" w:hAnsi="Tahoma" w:cs="Tahoma"/>
      <w:sz w:val="16"/>
      <w:szCs w:val="16"/>
    </w:rPr>
  </w:style>
  <w:style w:type="character" w:customStyle="1" w:styleId="BalloonTextChar">
    <w:name w:val="Balloon Text Char"/>
    <w:link w:val="BalloonText"/>
    <w:locked/>
    <w:rsid w:val="00FE2D33"/>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
          <c:y val="0.12738853503184713"/>
          <c:w val="0.49583333333333335"/>
          <c:h val="0.7579617834394905"/>
        </c:manualLayout>
      </c:layout>
      <c:pieChart>
        <c:varyColors val="1"/>
        <c:ser>
          <c:idx val="0"/>
          <c:order val="0"/>
          <c:tx>
            <c:strRef>
              <c:f>Sheet1!$A$2</c:f>
              <c:strCache>
                <c:ptCount val="1"/>
                <c:pt idx="0">
                  <c:v>Percent</c:v>
                </c:pt>
              </c:strCache>
            </c:strRef>
          </c:tx>
          <c:spPr>
            <a:solidFill>
              <a:srgbClr val="0000FF"/>
            </a:solidFill>
            <a:ln w="12699">
              <a:solidFill>
                <a:srgbClr val="000000"/>
              </a:solidFill>
              <a:prstDash val="solid"/>
            </a:ln>
          </c:spPr>
          <c:dPt>
            <c:idx val="0"/>
            <c:bubble3D val="0"/>
            <c:extLst>
              <c:ext xmlns:c16="http://schemas.microsoft.com/office/drawing/2014/chart" uri="{C3380CC4-5D6E-409C-BE32-E72D297353CC}">
                <c16:uniqueId val="{00000000-65F3-4AC0-9977-7CE81F0112E4}"/>
              </c:ext>
            </c:extLst>
          </c:dPt>
          <c:dPt>
            <c:idx val="1"/>
            <c:bubble3D val="0"/>
            <c:spPr>
              <a:solidFill>
                <a:srgbClr val="008000"/>
              </a:solidFill>
              <a:ln w="12699">
                <a:solidFill>
                  <a:srgbClr val="000000"/>
                </a:solidFill>
                <a:prstDash val="solid"/>
              </a:ln>
            </c:spPr>
            <c:extLst>
              <c:ext xmlns:c16="http://schemas.microsoft.com/office/drawing/2014/chart" uri="{C3380CC4-5D6E-409C-BE32-E72D297353CC}">
                <c16:uniqueId val="{00000001-65F3-4AC0-9977-7CE81F0112E4}"/>
              </c:ext>
            </c:extLst>
          </c:dPt>
          <c:dPt>
            <c:idx val="2"/>
            <c:bubble3D val="0"/>
            <c:spPr>
              <a:solidFill>
                <a:srgbClr val="000000"/>
              </a:solidFill>
              <a:ln w="12699">
                <a:solidFill>
                  <a:srgbClr val="000000"/>
                </a:solidFill>
                <a:prstDash val="solid"/>
              </a:ln>
            </c:spPr>
            <c:extLst>
              <c:ext xmlns:c16="http://schemas.microsoft.com/office/drawing/2014/chart" uri="{C3380CC4-5D6E-409C-BE32-E72D297353CC}">
                <c16:uniqueId val="{00000002-65F3-4AC0-9977-7CE81F0112E4}"/>
              </c:ext>
            </c:extLst>
          </c:dPt>
          <c:dLbls>
            <c:dLbl>
              <c:idx val="0"/>
              <c:numFmt formatCode="0%" sourceLinked="0"/>
              <c:spPr>
                <a:noFill/>
                <a:ln w="25398">
                  <a:noFill/>
                </a:ln>
              </c:spPr>
              <c:txPr>
                <a:bodyPr wrap="square" lIns="38100" tIns="19050" rIns="38100" bIns="19050" anchor="ctr">
                  <a:spAutoFit/>
                </a:bodyPr>
                <a:lstStyle/>
                <a:p>
                  <a:pPr>
                    <a:defRPr sz="800" b="1" i="0" u="none" strike="noStrike" baseline="0">
                      <a:solidFill>
                        <a:schemeClr val="bg1"/>
                      </a:solidFill>
                      <a:latin typeface="Arial"/>
                      <a:ea typeface="Arial"/>
                      <a:cs typeface="Arial"/>
                    </a:defRPr>
                  </a:pPr>
                  <a:endParaRPr lang="en-US"/>
                </a:p>
              </c:txPr>
              <c:showLegendKey val="0"/>
              <c:showVal val="0"/>
              <c:showCatName val="0"/>
              <c:showSerName val="0"/>
              <c:showPercent val="1"/>
              <c:showBubbleSize val="0"/>
              <c:extLst>
                <c:ext xmlns:c16="http://schemas.microsoft.com/office/drawing/2014/chart" uri="{C3380CC4-5D6E-409C-BE32-E72D297353CC}">
                  <c16:uniqueId val="{00000000-65F3-4AC0-9977-7CE81F0112E4}"/>
                </c:ext>
              </c:extLst>
            </c:dLbl>
            <c:dLbl>
              <c:idx val="1"/>
              <c:numFmt formatCode="0%" sourceLinked="0"/>
              <c:spPr>
                <a:noFill/>
                <a:ln w="25398">
                  <a:noFill/>
                </a:ln>
              </c:spPr>
              <c:txPr>
                <a:bodyPr wrap="square" lIns="38100" tIns="19050" rIns="38100" bIns="19050" anchor="ctr">
                  <a:spAutoFit/>
                </a:bodyPr>
                <a:lstStyle/>
                <a:p>
                  <a:pPr>
                    <a:defRPr sz="800" b="1" i="0" u="none" strike="noStrike" baseline="0">
                      <a:solidFill>
                        <a:schemeClr val="bg1"/>
                      </a:solidFill>
                      <a:latin typeface="Arial"/>
                      <a:ea typeface="Arial"/>
                      <a:cs typeface="Arial"/>
                    </a:defRPr>
                  </a:pPr>
                  <a:endParaRPr lang="en-US"/>
                </a:p>
              </c:txPr>
              <c:showLegendKey val="0"/>
              <c:showVal val="0"/>
              <c:showCatName val="0"/>
              <c:showSerName val="0"/>
              <c:showPercent val="1"/>
              <c:showBubbleSize val="0"/>
              <c:extLst>
                <c:ext xmlns:c16="http://schemas.microsoft.com/office/drawing/2014/chart" uri="{C3380CC4-5D6E-409C-BE32-E72D297353CC}">
                  <c16:uniqueId val="{00000001-65F3-4AC0-9977-7CE81F0112E4}"/>
                </c:ext>
              </c:extLst>
            </c:dLbl>
            <c:dLbl>
              <c:idx val="2"/>
              <c:numFmt formatCode="0%" sourceLinked="0"/>
              <c:spPr>
                <a:noFill/>
                <a:ln w="25398">
                  <a:noFill/>
                </a:ln>
              </c:spPr>
              <c:txPr>
                <a:bodyPr wrap="square" lIns="38100" tIns="19050" rIns="38100" bIns="19050" anchor="ctr">
                  <a:spAutoFit/>
                </a:bodyPr>
                <a:lstStyle/>
                <a:p>
                  <a:pPr>
                    <a:defRPr sz="800" b="1" i="0" u="none" strike="noStrike" baseline="0">
                      <a:solidFill>
                        <a:schemeClr val="bg1"/>
                      </a:solidFill>
                      <a:latin typeface="Arial"/>
                      <a:ea typeface="Arial"/>
                      <a:cs typeface="Arial"/>
                    </a:defRPr>
                  </a:pPr>
                  <a:endParaRPr lang="en-US"/>
                </a:p>
              </c:txPr>
              <c:showLegendKey val="0"/>
              <c:showVal val="0"/>
              <c:showCatName val="0"/>
              <c:showSerName val="0"/>
              <c:showPercent val="1"/>
              <c:showBubbleSize val="0"/>
              <c:extLst>
                <c:ext xmlns:c16="http://schemas.microsoft.com/office/drawing/2014/chart" uri="{C3380CC4-5D6E-409C-BE32-E72D297353CC}">
                  <c16:uniqueId val="{00000002-65F3-4AC0-9977-7CE81F0112E4}"/>
                </c:ext>
              </c:extLst>
            </c:dLbl>
            <c:numFmt formatCode="0%" sourceLinked="0"/>
            <c:spPr>
              <a:noFill/>
              <a:ln w="25398">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Recycling </c:v>
                </c:pt>
                <c:pt idx="1">
                  <c:v>Compost</c:v>
                </c:pt>
                <c:pt idx="2">
                  <c:v>Trash</c:v>
                </c:pt>
              </c:strCache>
            </c:strRef>
          </c:cat>
          <c:val>
            <c:numRef>
              <c:f>Sheet1!$B$2:$D$2</c:f>
              <c:numCache>
                <c:formatCode>General</c:formatCode>
                <c:ptCount val="3"/>
                <c:pt idx="0">
                  <c:v>60</c:v>
                </c:pt>
                <c:pt idx="1">
                  <c:v>30</c:v>
                </c:pt>
                <c:pt idx="2">
                  <c:v>10</c:v>
                </c:pt>
              </c:numCache>
            </c:numRef>
          </c:val>
          <c:extLst>
            <c:ext xmlns:c16="http://schemas.microsoft.com/office/drawing/2014/chart" uri="{C3380CC4-5D6E-409C-BE32-E72D297353CC}">
              <c16:uniqueId val="{00000003-65F3-4AC0-9977-7CE81F0112E4}"/>
            </c:ext>
          </c:extLst>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4-65F3-4AC0-9977-7CE81F0112E4}"/>
              </c:ext>
            </c:extLst>
          </c:dPt>
          <c:dPt>
            <c:idx val="1"/>
            <c:bubble3D val="0"/>
            <c:extLst>
              <c:ext xmlns:c16="http://schemas.microsoft.com/office/drawing/2014/chart" uri="{C3380CC4-5D6E-409C-BE32-E72D297353CC}">
                <c16:uniqueId val="{00000005-65F3-4AC0-9977-7CE81F0112E4}"/>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6-65F3-4AC0-9977-7CE81F0112E4}"/>
              </c:ext>
            </c:extLst>
          </c:dPt>
          <c:cat>
            <c:strRef>
              <c:f>Sheet1!$B$1:$D$1</c:f>
              <c:strCache>
                <c:ptCount val="3"/>
                <c:pt idx="0">
                  <c:v>Recycling </c:v>
                </c:pt>
                <c:pt idx="1">
                  <c:v>Compost</c:v>
                </c:pt>
                <c:pt idx="2">
                  <c:v>Trash</c:v>
                </c:pt>
              </c:strCache>
            </c:strRef>
          </c:cat>
          <c:val>
            <c:numRef>
              <c:f>Sheet1!$B$3:$D$3</c:f>
              <c:numCache>
                <c:formatCode>General</c:formatCode>
                <c:ptCount val="3"/>
              </c:numCache>
            </c:numRef>
          </c:val>
          <c:extLst>
            <c:ext xmlns:c16="http://schemas.microsoft.com/office/drawing/2014/chart" uri="{C3380CC4-5D6E-409C-BE32-E72D297353CC}">
              <c16:uniqueId val="{00000007-65F3-4AC0-9977-7CE81F0112E4}"/>
            </c:ext>
          </c:extLst>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extLst>
              <c:ext xmlns:c16="http://schemas.microsoft.com/office/drawing/2014/chart" uri="{C3380CC4-5D6E-409C-BE32-E72D297353CC}">
                <c16:uniqueId val="{00000008-65F3-4AC0-9977-7CE81F0112E4}"/>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9-65F3-4AC0-9977-7CE81F0112E4}"/>
              </c:ext>
            </c:extLst>
          </c:dPt>
          <c:dPt>
            <c:idx val="2"/>
            <c:bubble3D val="0"/>
            <c:extLst>
              <c:ext xmlns:c16="http://schemas.microsoft.com/office/drawing/2014/chart" uri="{C3380CC4-5D6E-409C-BE32-E72D297353CC}">
                <c16:uniqueId val="{0000000A-65F3-4AC0-9977-7CE81F0112E4}"/>
              </c:ext>
            </c:extLst>
          </c:dPt>
          <c:cat>
            <c:strRef>
              <c:f>Sheet1!$B$1:$D$1</c:f>
              <c:strCache>
                <c:ptCount val="3"/>
                <c:pt idx="0">
                  <c:v>Recycling </c:v>
                </c:pt>
                <c:pt idx="1">
                  <c:v>Compost</c:v>
                </c:pt>
                <c:pt idx="2">
                  <c:v>Trash</c:v>
                </c:pt>
              </c:strCache>
            </c:strRef>
          </c:cat>
          <c:val>
            <c:numRef>
              <c:f>Sheet1!$B$4:$D$4</c:f>
              <c:numCache>
                <c:formatCode>General</c:formatCode>
                <c:ptCount val="3"/>
              </c:numCache>
            </c:numRef>
          </c:val>
          <c:extLst>
            <c:ext xmlns:c16="http://schemas.microsoft.com/office/drawing/2014/chart" uri="{C3380CC4-5D6E-409C-BE32-E72D297353CC}">
              <c16:uniqueId val="{0000000B-65F3-4AC0-9977-7CE81F0112E4}"/>
            </c:ext>
          </c:extLst>
        </c:ser>
        <c:dLbls>
          <c:showLegendKey val="0"/>
          <c:showVal val="0"/>
          <c:showCatName val="0"/>
          <c:showSerName val="0"/>
          <c:showPercent val="0"/>
          <c:showBubbleSize val="0"/>
          <c:showLeaderLines val="1"/>
        </c:dLbls>
        <c:firstSliceAng val="140"/>
      </c:pieChart>
      <c:spPr>
        <a:noFill/>
        <a:ln w="25398">
          <a:noFill/>
        </a:ln>
      </c:spPr>
    </c:plotArea>
    <c:legend>
      <c:legendPos val="r"/>
      <c:layout>
        <c:manualLayout>
          <c:xMode val="edge"/>
          <c:yMode val="edge"/>
          <c:x val="0.6958333333333333"/>
          <c:y val="0.13375796178343949"/>
          <c:w val="0.30416666666666664"/>
          <c:h val="0.56687898089171973"/>
        </c:manualLayout>
      </c:layout>
      <c:overlay val="0"/>
      <c:spPr>
        <a:noFill/>
        <a:ln w="25398">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46BE82DBF7747B69DD7B99DBA25E1" ma:contentTypeVersion="10" ma:contentTypeDescription="Create a new document." ma:contentTypeScope="" ma:versionID="b35691dca48b5cf3f43a492fe2fd796a">
  <xsd:schema xmlns:xsd="http://www.w3.org/2001/XMLSchema" xmlns:xs="http://www.w3.org/2001/XMLSchema" xmlns:p="http://schemas.microsoft.com/office/2006/metadata/properties" xmlns:ns3="2d9d0025-abd6-4217-920d-bf6a9d577e86" xmlns:ns4="ff1e3e63-f505-452c-8755-cc87e458b069" targetNamespace="http://schemas.microsoft.com/office/2006/metadata/properties" ma:root="true" ma:fieldsID="4f073b41c4763467a7feed6432414450" ns3:_="" ns4:_="">
    <xsd:import namespace="2d9d0025-abd6-4217-920d-bf6a9d577e86"/>
    <xsd:import namespace="ff1e3e63-f505-452c-8755-cc87e458b0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d0025-abd6-4217-920d-bf6a9d577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e3e63-f505-452c-8755-cc87e458b0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673A3-C074-49CC-8017-031C19F3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d0025-abd6-4217-920d-bf6a9d577e86"/>
    <ds:schemaRef ds:uri="ff1e3e63-f505-452c-8755-cc87e458b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CD5A6-0921-486A-B538-6833784BC80F}">
  <ds:schemaRefs>
    <ds:schemaRef ds:uri="http://schemas.microsoft.com/sharepoint/v3/contenttype/forms"/>
  </ds:schemaRefs>
</ds:datastoreItem>
</file>

<file path=customXml/itemProps3.xml><?xml version="1.0" encoding="utf-8"?>
<ds:datastoreItem xmlns:ds="http://schemas.openxmlformats.org/officeDocument/2006/customXml" ds:itemID="{3C75BF40-3BEB-4090-90AB-90E5018E6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Recycling, Composting, and Garbage Program:</vt:lpstr>
    </vt:vector>
  </TitlesOfParts>
  <Company>ESA</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Recycling, Composting, and Garbage Program:</dc:title>
  <dc:subject>Template Memo for Building Tenants on New Recycling and Composting Program</dc:subject>
  <dc:creator>CalRecycle</dc:creator>
  <cp:keywords/>
  <dc:description/>
  <cp:lastModifiedBy>Weeks, James@CalRecycle</cp:lastModifiedBy>
  <cp:revision>11</cp:revision>
  <dcterms:created xsi:type="dcterms:W3CDTF">2019-10-22T14:42:00Z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0x01010003546BE82DBF7747B69DD7B99DBA25E1</vt:lpwstr>
  </property>
</Properties>
</file>