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8BDC" w14:textId="47F9AFFF" w:rsidR="00845256" w:rsidRDefault="2A67675E" w:rsidP="00812B14">
      <w:pPr>
        <w:pStyle w:val="Heading1"/>
        <w:rPr>
          <w:b w:val="0"/>
        </w:rPr>
      </w:pPr>
      <w:r w:rsidRPr="03F074C7">
        <w:t>Rubric</w:t>
      </w:r>
      <w:r w:rsidR="00812B14">
        <w:t>:</w:t>
      </w:r>
      <w:r w:rsidR="5C3A360A" w:rsidRPr="03F074C7">
        <w:t xml:space="preserve"> </w:t>
      </w:r>
      <w:r w:rsidR="336023BE" w:rsidRPr="03F074C7">
        <w:t xml:space="preserve">Evaluating </w:t>
      </w:r>
      <w:r w:rsidR="5C3A360A" w:rsidRPr="03F074C7">
        <w:t>A</w:t>
      </w:r>
      <w:r w:rsidR="00812B14">
        <w:t>lternative Measurement Protocol</w:t>
      </w:r>
    </w:p>
    <w:p w14:paraId="36897272" w14:textId="201F7DE8" w:rsidR="00772D1B" w:rsidRDefault="008C2DBD" w:rsidP="15B752D5">
      <w:pPr>
        <w:rPr>
          <w:i/>
          <w:iCs/>
        </w:rPr>
      </w:pPr>
      <w:r w:rsidRPr="15B752D5">
        <w:rPr>
          <w:i/>
          <w:iCs/>
        </w:rPr>
        <w:t>How to use this tool</w:t>
      </w:r>
      <w:r w:rsidR="393DB9B2" w:rsidRPr="15B752D5">
        <w:rPr>
          <w:i/>
          <w:iCs/>
        </w:rPr>
        <w:t xml:space="preserve">:  For a transfer/processor facility proposal </w:t>
      </w:r>
      <w:r w:rsidR="2A2C93B2" w:rsidRPr="15B752D5">
        <w:rPr>
          <w:i/>
          <w:iCs/>
        </w:rPr>
        <w:t>the applicable sections are #1</w:t>
      </w:r>
      <w:r w:rsidR="51898F03" w:rsidRPr="15B752D5">
        <w:rPr>
          <w:i/>
          <w:iCs/>
        </w:rPr>
        <w:t xml:space="preserve">-2. For a compost facility/operation proposal, see #3. For in-vessel digestion facility, see #4. Add information to #5 </w:t>
      </w:r>
      <w:r w:rsidR="3237A597" w:rsidRPr="15B752D5">
        <w:rPr>
          <w:i/>
          <w:iCs/>
        </w:rPr>
        <w:t xml:space="preserve">for recommendations to change the terminology used in the report to better match the terminology used in the SB 1383 regulations. </w:t>
      </w:r>
    </w:p>
    <w:p w14:paraId="2ADA707F" w14:textId="4A4D0390" w:rsidR="00AE131B" w:rsidRDefault="001540F0" w:rsidP="00AE131B">
      <w:r w:rsidRPr="001540F0">
        <w:rPr>
          <w:b/>
          <w:bCs/>
        </w:rPr>
        <w:t>Facility Name/SWIS</w:t>
      </w:r>
      <w:r w:rsidR="00282656">
        <w:t xml:space="preserve"> #:</w:t>
      </w:r>
    </w:p>
    <w:p w14:paraId="0E392D33" w14:textId="2619CF0C" w:rsidR="001540F0" w:rsidRDefault="794313F9" w:rsidP="001540F0">
      <w:pPr>
        <w:rPr>
          <w:b/>
          <w:bCs/>
        </w:rPr>
      </w:pPr>
      <w:r w:rsidRPr="03F074C7">
        <w:rPr>
          <w:b/>
          <w:bCs/>
        </w:rPr>
        <w:t>Summary of</w:t>
      </w:r>
      <w:r w:rsidR="102E0E8F" w:rsidRPr="03F074C7">
        <w:rPr>
          <w:b/>
          <w:bCs/>
        </w:rPr>
        <w:t xml:space="preserve"> process/</w:t>
      </w:r>
      <w:r w:rsidRPr="03F074C7">
        <w:rPr>
          <w:b/>
          <w:bCs/>
        </w:rPr>
        <w:t>alternative</w:t>
      </w:r>
      <w:r w:rsidR="02B5CD07" w:rsidRPr="03F074C7">
        <w:rPr>
          <w:b/>
          <w:bCs/>
        </w:rPr>
        <w:t>(</w:t>
      </w:r>
      <w:r w:rsidRPr="03F074C7">
        <w:rPr>
          <w:b/>
          <w:bCs/>
        </w:rPr>
        <w:t>s</w:t>
      </w:r>
      <w:r w:rsidR="02B5CD07" w:rsidRPr="03F074C7">
        <w:rPr>
          <w:b/>
          <w:bCs/>
        </w:rPr>
        <w:t>)</w:t>
      </w:r>
      <w:r w:rsidRPr="03F074C7">
        <w:rPr>
          <w:b/>
          <w:bCs/>
        </w:rPr>
        <w:t xml:space="preserve"> </w:t>
      </w:r>
      <w:r w:rsidR="4E0B4CFD" w:rsidRPr="03F074C7">
        <w:rPr>
          <w:b/>
          <w:bCs/>
        </w:rPr>
        <w:t xml:space="preserve">proposed </w:t>
      </w:r>
      <w:r w:rsidRPr="03F074C7">
        <w:rPr>
          <w:b/>
          <w:bCs/>
        </w:rPr>
        <w:t>based upon our review and understanding of the proposal:</w:t>
      </w:r>
    </w:p>
    <w:p w14:paraId="107A2776" w14:textId="19126F5D" w:rsidR="10DAA3C9" w:rsidRPr="00C1494C" w:rsidRDefault="2C2D4AB4" w:rsidP="79A36F32">
      <w:pPr>
        <w:rPr>
          <w:i/>
          <w:iCs/>
          <w:color w:val="767171" w:themeColor="background2" w:themeShade="80"/>
          <w:sz w:val="22"/>
          <w:szCs w:val="22"/>
        </w:rPr>
      </w:pPr>
      <w:r w:rsidRPr="00C1494C">
        <w:rPr>
          <w:i/>
          <w:iCs/>
          <w:color w:val="767171" w:themeColor="background2" w:themeShade="80"/>
          <w:sz w:val="22"/>
          <w:szCs w:val="22"/>
        </w:rPr>
        <w:t>Succinctly summarizing the current flow of materials and proposed measurements/alternatives will help the LEA/facility understand and confirm if your understanding of the proposal is correct. Add</w:t>
      </w:r>
      <w:r w:rsidR="43E14B6D" w:rsidRPr="00C1494C">
        <w:rPr>
          <w:i/>
          <w:iCs/>
          <w:color w:val="767171" w:themeColor="background2" w:themeShade="80"/>
          <w:sz w:val="22"/>
          <w:szCs w:val="22"/>
        </w:rPr>
        <w:t xml:space="preserve"> any useful diagrams into this space also.</w:t>
      </w:r>
    </w:p>
    <w:p w14:paraId="0C580D9D" w14:textId="7BC77A33" w:rsidR="00516590" w:rsidRPr="00F16BB1" w:rsidRDefault="4D6B4C1F" w:rsidP="79A36F32">
      <w:pPr>
        <w:pStyle w:val="Heading2"/>
        <w:numPr>
          <w:ilvl w:val="0"/>
          <w:numId w:val="1"/>
        </w:numPr>
        <w:rPr>
          <w:rFonts w:eastAsia="Arial" w:cs="Arial"/>
          <w:bCs/>
          <w:szCs w:val="28"/>
        </w:rPr>
      </w:pPr>
      <w:r>
        <w:t xml:space="preserve"> </w:t>
      </w:r>
      <w:r w:rsidR="00AC625E">
        <w:t>Transfer/Processor</w:t>
      </w:r>
      <w:r w:rsidR="6B62A3E9">
        <w:t xml:space="preserve"> Rubric</w:t>
      </w:r>
      <w:r w:rsidR="00AC625E">
        <w:t>: Alte</w:t>
      </w:r>
      <w:r w:rsidR="00516590">
        <w:t>rnative Measurement Protocols</w:t>
      </w:r>
    </w:p>
    <w:p w14:paraId="0512677E" w14:textId="26CAB701" w:rsidR="00FA6249" w:rsidRPr="00692226" w:rsidRDefault="00692226" w:rsidP="79A36F32">
      <w:r w:rsidRPr="15B752D5">
        <w:rPr>
          <w:b/>
          <w:bCs/>
          <w:sz w:val="23"/>
          <w:szCs w:val="23"/>
        </w:rPr>
        <w:t>Pertinent regulatory text:</w:t>
      </w:r>
      <w:r w:rsidR="71D5D5B3" w:rsidRPr="15B752D5">
        <w:rPr>
          <w:b/>
          <w:bCs/>
          <w:sz w:val="23"/>
          <w:szCs w:val="23"/>
        </w:rPr>
        <w:t xml:space="preserve"> </w:t>
      </w:r>
      <w:r w:rsidR="00E86C8F" w:rsidRPr="15B752D5">
        <w:rPr>
          <w:b/>
          <w:bCs/>
          <w:sz w:val="23"/>
          <w:szCs w:val="23"/>
        </w:rPr>
        <w:t>17409.5.9(a)</w:t>
      </w:r>
      <w:r w:rsidR="00812B14" w:rsidRPr="15B752D5">
        <w:rPr>
          <w:b/>
          <w:bCs/>
          <w:sz w:val="23"/>
          <w:szCs w:val="23"/>
        </w:rPr>
        <w:t xml:space="preserve"> </w:t>
      </w:r>
      <w:r w:rsidR="00516590">
        <w:t xml:space="preserve">The EA may approve, with concurrence by the Department, alternative measurement protocols to the requirements of Sections 17409.5.2, 17409.5.3, 17409.5.4, 17409.5.5, 17409.5.7, and 17409.5.8, </w:t>
      </w:r>
      <w:proofErr w:type="gramStart"/>
      <w:r w:rsidR="00516590">
        <w:t>as long as</w:t>
      </w:r>
      <w:proofErr w:type="gramEnd"/>
      <w:r w:rsidR="00516590">
        <w:t xml:space="preserve"> </w:t>
      </w:r>
      <w:r w:rsidR="00424B58">
        <w:t>the operator</w:t>
      </w:r>
      <w:r w:rsidR="00516590">
        <w:t xml:space="preserve"> ensure</w:t>
      </w:r>
      <w:r w:rsidR="00424B58">
        <w:t>s</w:t>
      </w:r>
      <w:r w:rsidR="00516590">
        <w:t xml:space="preserve"> that the </w:t>
      </w:r>
      <w:r w:rsidR="00424B58">
        <w:t xml:space="preserve">alternative </w:t>
      </w:r>
      <w:r w:rsidR="00516590">
        <w:t>will be as accurate</w:t>
      </w:r>
      <w:r w:rsidR="00BD62C1">
        <w:t xml:space="preserve"> as the measurement requirements.</w:t>
      </w:r>
    </w:p>
    <w:p w14:paraId="37163244" w14:textId="16BD57CA" w:rsidR="5E903DFB" w:rsidRDefault="02A4C72E" w:rsidP="03F074C7">
      <w:r w:rsidRPr="15B752D5">
        <w:rPr>
          <w:u w:val="single"/>
        </w:rPr>
        <w:t xml:space="preserve">How to </w:t>
      </w:r>
      <w:r w:rsidR="447F1961" w:rsidRPr="15B752D5">
        <w:rPr>
          <w:u w:val="single"/>
        </w:rPr>
        <w:t xml:space="preserve">use this </w:t>
      </w:r>
      <w:r w:rsidR="5BB774CA" w:rsidRPr="15B752D5">
        <w:rPr>
          <w:u w:val="single"/>
        </w:rPr>
        <w:t>table</w:t>
      </w:r>
      <w:r>
        <w:t xml:space="preserve">: Fill out following table with alternatives proposed. </w:t>
      </w:r>
      <w:r w:rsidR="224EC4C1">
        <w:t>The</w:t>
      </w:r>
      <w:r w:rsidR="76DA4006">
        <w:t xml:space="preserve"> facility could propose an alternative for only one </w:t>
      </w:r>
      <w:r w:rsidR="36C8FA42">
        <w:t xml:space="preserve">section, </w:t>
      </w:r>
      <w:r w:rsidR="76DA4006">
        <w:t>to all sections, or none of the sections listed below.</w:t>
      </w:r>
      <w:r w:rsidR="1653C3C7">
        <w:t xml:space="preserve"> </w:t>
      </w:r>
      <w:r w:rsidR="76DA4006">
        <w:t>If an alternative is proposed for 17409.5.8</w:t>
      </w:r>
      <w:r w:rsidR="41FDFB50">
        <w:t xml:space="preserve"> (the section with *) </w:t>
      </w:r>
      <w:r w:rsidR="00642F8F">
        <w:t>and is considered a</w:t>
      </w:r>
      <w:r w:rsidR="23BE43E3">
        <w:t>n “alternative quality standard</w:t>
      </w:r>
      <w:r w:rsidR="00642F8F">
        <w:t>,</w:t>
      </w:r>
      <w:r w:rsidR="23BE43E3">
        <w:t xml:space="preserve">” </w:t>
      </w:r>
      <w:r w:rsidR="00642F8F">
        <w:t xml:space="preserve">then it </w:t>
      </w:r>
      <w:r w:rsidR="23BE43E3">
        <w:t>need</w:t>
      </w:r>
      <w:r w:rsidR="4E1F3252">
        <w:t>s</w:t>
      </w:r>
      <w:r w:rsidR="23BE43E3">
        <w:t xml:space="preserve"> to meet the requirements outlined in Table 2 below.</w:t>
      </w:r>
    </w:p>
    <w:tbl>
      <w:tblPr>
        <w:tblStyle w:val="TableGrid"/>
        <w:tblW w:w="13495" w:type="dxa"/>
        <w:tblLook w:val="04A0" w:firstRow="1" w:lastRow="0" w:firstColumn="1" w:lastColumn="0" w:noHBand="0" w:noVBand="1"/>
        <w:tblCaption w:val="Table 1: Alternative Measurements Proposed Rubric"/>
      </w:tblPr>
      <w:tblGrid>
        <w:gridCol w:w="2605"/>
        <w:gridCol w:w="2970"/>
        <w:gridCol w:w="3795"/>
        <w:gridCol w:w="4125"/>
      </w:tblGrid>
      <w:tr w:rsidR="00E86C8F" w14:paraId="7A1B645E" w14:textId="77777777" w:rsidTr="00C1494C">
        <w:trPr>
          <w:tblHeader/>
        </w:trPr>
        <w:tc>
          <w:tcPr>
            <w:tcW w:w="2605" w:type="dxa"/>
          </w:tcPr>
          <w:p w14:paraId="6F3B97AC" w14:textId="79EA70B6" w:rsidR="00E86C8F" w:rsidRPr="00C07D1D" w:rsidRDefault="00E86C8F" w:rsidP="00E86C8F">
            <w:pPr>
              <w:rPr>
                <w:b/>
                <w:bCs/>
              </w:rPr>
            </w:pPr>
            <w:r w:rsidRPr="00C07D1D">
              <w:rPr>
                <w:b/>
                <w:bCs/>
              </w:rPr>
              <w:t>Section affected</w:t>
            </w:r>
            <w:r w:rsidR="001E1C3B" w:rsidRPr="00C07D1D">
              <w:rPr>
                <w:b/>
                <w:bCs/>
              </w:rPr>
              <w:t>?</w:t>
            </w:r>
          </w:p>
        </w:tc>
        <w:tc>
          <w:tcPr>
            <w:tcW w:w="2970" w:type="dxa"/>
          </w:tcPr>
          <w:p w14:paraId="5C36A069" w14:textId="09899F44" w:rsidR="00E86C8F" w:rsidRPr="00C07D1D" w:rsidRDefault="00E86C8F">
            <w:pPr>
              <w:rPr>
                <w:b/>
                <w:bCs/>
              </w:rPr>
            </w:pPr>
            <w:r w:rsidRPr="00C07D1D">
              <w:rPr>
                <w:b/>
                <w:bCs/>
              </w:rPr>
              <w:t>Alternative measurement/change proposed</w:t>
            </w:r>
          </w:p>
        </w:tc>
        <w:tc>
          <w:tcPr>
            <w:tcW w:w="3795" w:type="dxa"/>
          </w:tcPr>
          <w:p w14:paraId="36B4D0F5" w14:textId="08AD8C12" w:rsidR="00E86C8F" w:rsidRPr="00C07D1D" w:rsidRDefault="360C43E3">
            <w:pPr>
              <w:rPr>
                <w:b/>
                <w:bCs/>
              </w:rPr>
            </w:pPr>
            <w:r w:rsidRPr="0790013F">
              <w:rPr>
                <w:b/>
                <w:bCs/>
              </w:rPr>
              <w:t>Information given to support finding</w:t>
            </w:r>
          </w:p>
        </w:tc>
        <w:tc>
          <w:tcPr>
            <w:tcW w:w="4125" w:type="dxa"/>
          </w:tcPr>
          <w:p w14:paraId="51C127A9" w14:textId="273E14A4" w:rsidR="00E86C8F" w:rsidRPr="00C07D1D" w:rsidRDefault="35F54A8D">
            <w:pPr>
              <w:rPr>
                <w:b/>
                <w:bCs/>
              </w:rPr>
            </w:pPr>
            <w:r w:rsidRPr="03F074C7">
              <w:rPr>
                <w:b/>
                <w:bCs/>
              </w:rPr>
              <w:t>F</w:t>
            </w:r>
            <w:r w:rsidR="0973D73D" w:rsidRPr="03F074C7">
              <w:rPr>
                <w:b/>
                <w:bCs/>
              </w:rPr>
              <w:t>inding of alternative’s suitability</w:t>
            </w:r>
          </w:p>
        </w:tc>
      </w:tr>
      <w:tr w:rsidR="00E86C8F" w14:paraId="7B596A59" w14:textId="77777777" w:rsidTr="00C1494C">
        <w:tc>
          <w:tcPr>
            <w:tcW w:w="2605" w:type="dxa"/>
          </w:tcPr>
          <w:p w14:paraId="6FA8856E" w14:textId="1A529C55" w:rsidR="00E86C8F" w:rsidRDefault="00E86C8F" w:rsidP="0790013F">
            <w:pPr>
              <w:rPr>
                <w:b/>
                <w:bCs/>
              </w:rPr>
            </w:pPr>
            <w:r w:rsidRPr="0790013F">
              <w:rPr>
                <w:b/>
                <w:bCs/>
              </w:rPr>
              <w:t>17409.5.2</w:t>
            </w:r>
          </w:p>
          <w:p w14:paraId="63682469" w14:textId="17AA7F98" w:rsidR="00E86C8F" w:rsidRDefault="41D10C67" w:rsidP="0790013F">
            <w:pPr>
              <w:rPr>
                <w:sz w:val="20"/>
                <w:szCs w:val="20"/>
              </w:rPr>
            </w:pPr>
            <w:r w:rsidRPr="0790013F">
              <w:rPr>
                <w:b/>
                <w:bCs/>
                <w:sz w:val="20"/>
                <w:szCs w:val="20"/>
              </w:rPr>
              <w:t>MO</w:t>
            </w:r>
            <w:r w:rsidRPr="0790013F">
              <w:rPr>
                <w:sz w:val="20"/>
                <w:szCs w:val="20"/>
              </w:rPr>
              <w:t>: Org waste recovered</w:t>
            </w:r>
          </w:p>
        </w:tc>
        <w:tc>
          <w:tcPr>
            <w:tcW w:w="2970" w:type="dxa"/>
          </w:tcPr>
          <w:p w14:paraId="1B084779" w14:textId="77777777" w:rsidR="00E86C8F" w:rsidRDefault="2751537E" w:rsidP="79A36F32">
            <w:pPr>
              <w:spacing w:line="259" w:lineRule="auto"/>
              <w:rPr>
                <w:i/>
                <w:iCs/>
                <w:color w:val="7B7B7B" w:themeColor="accent3" w:themeShade="BF"/>
                <w:sz w:val="20"/>
                <w:szCs w:val="20"/>
              </w:rPr>
            </w:pPr>
            <w:r w:rsidRPr="00812B14">
              <w:rPr>
                <w:i/>
                <w:iCs/>
                <w:color w:val="7B7B7B" w:themeColor="accent3" w:themeShade="BF"/>
                <w:sz w:val="20"/>
                <w:szCs w:val="20"/>
              </w:rPr>
              <w:t xml:space="preserve">What measurements are proposed? Be as specific as possible. </w:t>
            </w:r>
            <w:r w:rsidR="00642F8F" w:rsidRPr="00812B14">
              <w:rPr>
                <w:i/>
                <w:iCs/>
                <w:color w:val="7B7B7B" w:themeColor="accent3" w:themeShade="BF"/>
                <w:sz w:val="20"/>
                <w:szCs w:val="20"/>
              </w:rPr>
              <w:t>Examples include changing measurement frequency, sample size, measurement protocols</w:t>
            </w:r>
            <w:r w:rsidR="002456ED" w:rsidRPr="00812B14">
              <w:rPr>
                <w:i/>
                <w:iCs/>
                <w:color w:val="7B7B7B" w:themeColor="accent3" w:themeShade="BF"/>
                <w:sz w:val="20"/>
                <w:szCs w:val="20"/>
              </w:rPr>
              <w:t>, laboratory methods, etc.</w:t>
            </w:r>
          </w:p>
          <w:p w14:paraId="2D49A8C9" w14:textId="7BD44FDA" w:rsidR="00812B14" w:rsidRPr="00350898" w:rsidRDefault="00812B14" w:rsidP="79A36F32">
            <w:pPr>
              <w:spacing w:line="259" w:lineRule="auto"/>
              <w:rPr>
                <w:i/>
                <w:iCs/>
                <w:color w:val="A5A5A5" w:themeColor="accent3"/>
                <w:sz w:val="20"/>
                <w:szCs w:val="20"/>
              </w:rPr>
            </w:pPr>
          </w:p>
        </w:tc>
        <w:tc>
          <w:tcPr>
            <w:tcW w:w="3795" w:type="dxa"/>
          </w:tcPr>
          <w:p w14:paraId="7DDCFC49" w14:textId="396FDD86" w:rsidR="00E86C8F" w:rsidRPr="00350898" w:rsidRDefault="2751537E" w:rsidP="79A36F32">
            <w:pPr>
              <w:rPr>
                <w:i/>
                <w:iCs/>
                <w:color w:val="A5A5A5" w:themeColor="accent3"/>
                <w:sz w:val="20"/>
                <w:szCs w:val="20"/>
              </w:rPr>
            </w:pPr>
            <w:r w:rsidRPr="00812B14">
              <w:rPr>
                <w:i/>
                <w:iCs/>
                <w:color w:val="7B7B7B" w:themeColor="accent3" w:themeShade="BF"/>
                <w:sz w:val="20"/>
                <w:szCs w:val="20"/>
              </w:rPr>
              <w:t>Reference specific information given in proposal.</w:t>
            </w:r>
          </w:p>
        </w:tc>
        <w:tc>
          <w:tcPr>
            <w:tcW w:w="4125" w:type="dxa"/>
          </w:tcPr>
          <w:p w14:paraId="21C7717C" w14:textId="74E48FB4" w:rsidR="00E86C8F" w:rsidRPr="00350898" w:rsidRDefault="2751537E" w:rsidP="79A36F32">
            <w:pPr>
              <w:rPr>
                <w:i/>
                <w:iCs/>
                <w:color w:val="A5A5A5" w:themeColor="accent3"/>
                <w:sz w:val="20"/>
                <w:szCs w:val="20"/>
              </w:rPr>
            </w:pPr>
            <w:r w:rsidRPr="00812B14">
              <w:rPr>
                <w:i/>
                <w:iCs/>
                <w:color w:val="7B7B7B" w:themeColor="accent3" w:themeShade="BF"/>
                <w:sz w:val="20"/>
                <w:szCs w:val="20"/>
              </w:rPr>
              <w:t>Is this an “as accurate” alternative to measurement requirements? Is there any other information/data necessary needed before making this determination?</w:t>
            </w:r>
          </w:p>
        </w:tc>
      </w:tr>
      <w:tr w:rsidR="00E86C8F" w14:paraId="6FFF320C" w14:textId="77777777" w:rsidTr="00C1494C">
        <w:tc>
          <w:tcPr>
            <w:tcW w:w="2605" w:type="dxa"/>
          </w:tcPr>
          <w:p w14:paraId="7BB854E7" w14:textId="527F5106" w:rsidR="00E86C8F" w:rsidRDefault="00E86C8F" w:rsidP="0790013F">
            <w:pPr>
              <w:rPr>
                <w:b/>
                <w:bCs/>
              </w:rPr>
            </w:pPr>
            <w:r w:rsidRPr="0790013F">
              <w:rPr>
                <w:b/>
                <w:bCs/>
              </w:rPr>
              <w:t>17409.5.3</w:t>
            </w:r>
          </w:p>
          <w:p w14:paraId="3051E366" w14:textId="12D5318F" w:rsidR="00E86C8F" w:rsidRPr="00AA6CB4" w:rsidRDefault="41D10C67">
            <w:pPr>
              <w:rPr>
                <w:sz w:val="20"/>
                <w:szCs w:val="20"/>
              </w:rPr>
            </w:pPr>
            <w:r w:rsidRPr="0790013F">
              <w:rPr>
                <w:b/>
                <w:bCs/>
                <w:sz w:val="20"/>
                <w:szCs w:val="20"/>
              </w:rPr>
              <w:lastRenderedPageBreak/>
              <w:t>MO</w:t>
            </w:r>
            <w:r w:rsidRPr="0790013F">
              <w:rPr>
                <w:sz w:val="20"/>
                <w:szCs w:val="20"/>
              </w:rPr>
              <w:t xml:space="preserve">: Org waste in material for disposal </w:t>
            </w:r>
          </w:p>
        </w:tc>
        <w:tc>
          <w:tcPr>
            <w:tcW w:w="2970" w:type="dxa"/>
          </w:tcPr>
          <w:p w14:paraId="508D9EB0" w14:textId="7677A5D1" w:rsidR="00E86C8F" w:rsidRPr="00350898" w:rsidRDefault="00812B14">
            <w:pPr>
              <w:rPr>
                <w:color w:val="1F3864" w:themeColor="accent1" w:themeShade="80"/>
                <w:sz w:val="20"/>
                <w:szCs w:val="20"/>
              </w:rPr>
            </w:pPr>
            <w:r>
              <w:rPr>
                <w:i/>
                <w:iCs/>
                <w:color w:val="7B7B7B" w:themeColor="accent3" w:themeShade="BF"/>
                <w:sz w:val="20"/>
                <w:szCs w:val="20"/>
              </w:rPr>
              <w:lastRenderedPageBreak/>
              <w:t xml:space="preserve">Add info or leave N/A </w:t>
            </w:r>
          </w:p>
        </w:tc>
        <w:tc>
          <w:tcPr>
            <w:tcW w:w="3795" w:type="dxa"/>
          </w:tcPr>
          <w:p w14:paraId="640DAF96" w14:textId="3607BEB9"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c>
          <w:tcPr>
            <w:tcW w:w="4125" w:type="dxa"/>
          </w:tcPr>
          <w:p w14:paraId="7C15EBAC" w14:textId="622C90F4"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r>
      <w:tr w:rsidR="00E86C8F" w14:paraId="671488B5" w14:textId="77777777" w:rsidTr="00C1494C">
        <w:tc>
          <w:tcPr>
            <w:tcW w:w="2605" w:type="dxa"/>
          </w:tcPr>
          <w:p w14:paraId="11CE991F" w14:textId="7CBBC600" w:rsidR="00E86C8F" w:rsidRDefault="00E86C8F" w:rsidP="0790013F">
            <w:pPr>
              <w:rPr>
                <w:b/>
                <w:bCs/>
              </w:rPr>
            </w:pPr>
            <w:r w:rsidRPr="0790013F">
              <w:rPr>
                <w:b/>
                <w:bCs/>
              </w:rPr>
              <w:t>17409.5.4</w:t>
            </w:r>
          </w:p>
          <w:p w14:paraId="2C2FED46" w14:textId="78E8D9A1" w:rsidR="00E86C8F" w:rsidRDefault="41D10C67" w:rsidP="0790013F">
            <w:pPr>
              <w:rPr>
                <w:sz w:val="20"/>
                <w:szCs w:val="20"/>
              </w:rPr>
            </w:pPr>
            <w:r w:rsidRPr="0790013F">
              <w:rPr>
                <w:b/>
                <w:bCs/>
                <w:sz w:val="20"/>
                <w:szCs w:val="20"/>
              </w:rPr>
              <w:t>SS</w:t>
            </w:r>
            <w:r w:rsidR="21A7B122" w:rsidRPr="0790013F">
              <w:rPr>
                <w:b/>
                <w:bCs/>
                <w:sz w:val="20"/>
                <w:szCs w:val="20"/>
              </w:rPr>
              <w:t>O</w:t>
            </w:r>
            <w:r w:rsidRPr="0790013F">
              <w:rPr>
                <w:sz w:val="20"/>
                <w:szCs w:val="20"/>
              </w:rPr>
              <w:t>: Org waste recovered</w:t>
            </w:r>
          </w:p>
        </w:tc>
        <w:tc>
          <w:tcPr>
            <w:tcW w:w="2970" w:type="dxa"/>
          </w:tcPr>
          <w:p w14:paraId="45AE5418" w14:textId="7AE1730D"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c>
          <w:tcPr>
            <w:tcW w:w="3795" w:type="dxa"/>
          </w:tcPr>
          <w:p w14:paraId="4BDD095D" w14:textId="3E15E71B"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c>
          <w:tcPr>
            <w:tcW w:w="4125" w:type="dxa"/>
          </w:tcPr>
          <w:p w14:paraId="79BD1D28" w14:textId="62C1C0FF"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r>
      <w:tr w:rsidR="00E86C8F" w14:paraId="0A07F3B6" w14:textId="77777777" w:rsidTr="00C1494C">
        <w:tc>
          <w:tcPr>
            <w:tcW w:w="2605" w:type="dxa"/>
          </w:tcPr>
          <w:p w14:paraId="4EDC4888" w14:textId="77777777" w:rsidR="00E86C8F" w:rsidRDefault="00E86C8F" w:rsidP="0790013F">
            <w:pPr>
              <w:rPr>
                <w:b/>
                <w:bCs/>
              </w:rPr>
            </w:pPr>
            <w:r w:rsidRPr="0790013F">
              <w:rPr>
                <w:b/>
                <w:bCs/>
              </w:rPr>
              <w:t>17409.5.5</w:t>
            </w:r>
          </w:p>
          <w:p w14:paraId="19CD674A" w14:textId="66E5F264" w:rsidR="00E86C8F" w:rsidRDefault="41D10C67" w:rsidP="00AA6CB4">
            <w:r w:rsidRPr="0790013F">
              <w:rPr>
                <w:b/>
                <w:bCs/>
                <w:sz w:val="20"/>
                <w:szCs w:val="20"/>
              </w:rPr>
              <w:t>SSO:</w:t>
            </w:r>
            <w:r w:rsidRPr="0790013F">
              <w:rPr>
                <w:sz w:val="20"/>
                <w:szCs w:val="20"/>
              </w:rPr>
              <w:t xml:space="preserve"> Org waste in material for disposal</w:t>
            </w:r>
          </w:p>
        </w:tc>
        <w:tc>
          <w:tcPr>
            <w:tcW w:w="2970" w:type="dxa"/>
          </w:tcPr>
          <w:p w14:paraId="78004C0F" w14:textId="080E3B39"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c>
          <w:tcPr>
            <w:tcW w:w="3795" w:type="dxa"/>
          </w:tcPr>
          <w:p w14:paraId="3E72D4E9" w14:textId="694FC2EF"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c>
          <w:tcPr>
            <w:tcW w:w="4125" w:type="dxa"/>
          </w:tcPr>
          <w:p w14:paraId="565EB30E" w14:textId="33F639A5"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r>
      <w:tr w:rsidR="00E86C8F" w14:paraId="71C663D4" w14:textId="77777777" w:rsidTr="00C1494C">
        <w:trPr>
          <w:trHeight w:val="1095"/>
        </w:trPr>
        <w:tc>
          <w:tcPr>
            <w:tcW w:w="2605" w:type="dxa"/>
          </w:tcPr>
          <w:p w14:paraId="1D33CFC0" w14:textId="7DA1A93E" w:rsidR="00E86C8F" w:rsidRDefault="00E86C8F" w:rsidP="0790013F">
            <w:pPr>
              <w:rPr>
                <w:b/>
                <w:bCs/>
              </w:rPr>
            </w:pPr>
            <w:r w:rsidRPr="0790013F">
              <w:rPr>
                <w:b/>
                <w:bCs/>
              </w:rPr>
              <w:t>17409.5.7</w:t>
            </w:r>
          </w:p>
          <w:p w14:paraId="3DE6AA7B" w14:textId="3E06D910" w:rsidR="00CD2D42" w:rsidRPr="00CD2D42" w:rsidRDefault="00CD2D42" w:rsidP="00E86C8F">
            <w:pPr>
              <w:rPr>
                <w:sz w:val="20"/>
                <w:szCs w:val="20"/>
              </w:rPr>
            </w:pPr>
            <w:r w:rsidRPr="00CD2D42">
              <w:rPr>
                <w:sz w:val="20"/>
                <w:szCs w:val="20"/>
              </w:rPr>
              <w:t>Gray container waste evaluation</w:t>
            </w:r>
          </w:p>
          <w:p w14:paraId="6E1D3580" w14:textId="77777777" w:rsidR="00E86C8F" w:rsidRDefault="00E86C8F"/>
        </w:tc>
        <w:tc>
          <w:tcPr>
            <w:tcW w:w="2970" w:type="dxa"/>
          </w:tcPr>
          <w:p w14:paraId="719A6C07" w14:textId="2502A9BD"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c>
          <w:tcPr>
            <w:tcW w:w="3795" w:type="dxa"/>
          </w:tcPr>
          <w:p w14:paraId="4C2F448D" w14:textId="72367BB1"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c>
          <w:tcPr>
            <w:tcW w:w="4125" w:type="dxa"/>
          </w:tcPr>
          <w:p w14:paraId="4C65A060" w14:textId="2F3432CF"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r>
      <w:tr w:rsidR="00E86C8F" w14:paraId="3AB752BD" w14:textId="77777777" w:rsidTr="00C1494C">
        <w:tc>
          <w:tcPr>
            <w:tcW w:w="2605" w:type="dxa"/>
          </w:tcPr>
          <w:p w14:paraId="4C40162A" w14:textId="09C93D52" w:rsidR="00E86C8F" w:rsidRDefault="00E86C8F" w:rsidP="0790013F">
            <w:pPr>
              <w:rPr>
                <w:b/>
                <w:bCs/>
              </w:rPr>
            </w:pPr>
            <w:r w:rsidRPr="79A36F32">
              <w:rPr>
                <w:b/>
                <w:bCs/>
              </w:rPr>
              <w:t>17409.5.8</w:t>
            </w:r>
            <w:r w:rsidR="564CF969" w:rsidRPr="79A36F32">
              <w:rPr>
                <w:b/>
                <w:bCs/>
              </w:rPr>
              <w:t>*</w:t>
            </w:r>
          </w:p>
          <w:p w14:paraId="62F0BDDD" w14:textId="37D9C350" w:rsidR="00E86C8F" w:rsidRPr="00CD2D42" w:rsidRDefault="00CD2D42">
            <w:pPr>
              <w:rPr>
                <w:sz w:val="20"/>
                <w:szCs w:val="20"/>
              </w:rPr>
            </w:pPr>
            <w:r>
              <w:rPr>
                <w:sz w:val="20"/>
                <w:szCs w:val="20"/>
              </w:rPr>
              <w:t>IM</w:t>
            </w:r>
            <w:r w:rsidRPr="00CD2D42">
              <w:rPr>
                <w:sz w:val="20"/>
                <w:szCs w:val="20"/>
              </w:rPr>
              <w:t xml:space="preserve"> Limit in Recovered Organic Waste</w:t>
            </w:r>
          </w:p>
        </w:tc>
        <w:tc>
          <w:tcPr>
            <w:tcW w:w="2970" w:type="dxa"/>
          </w:tcPr>
          <w:p w14:paraId="48B0BF3F" w14:textId="28DD31B7"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c>
          <w:tcPr>
            <w:tcW w:w="3795" w:type="dxa"/>
          </w:tcPr>
          <w:p w14:paraId="3FA5A64F" w14:textId="5FADC7F7" w:rsidR="00E86C8F" w:rsidRPr="00350898" w:rsidRDefault="00812B14">
            <w:pPr>
              <w:rPr>
                <w:color w:val="1F3864" w:themeColor="accent1" w:themeShade="80"/>
                <w:sz w:val="20"/>
                <w:szCs w:val="20"/>
              </w:rPr>
            </w:pPr>
            <w:r>
              <w:rPr>
                <w:i/>
                <w:iCs/>
                <w:color w:val="7B7B7B" w:themeColor="accent3" w:themeShade="BF"/>
                <w:sz w:val="20"/>
                <w:szCs w:val="20"/>
              </w:rPr>
              <w:t>Add info or leave N/A</w:t>
            </w:r>
          </w:p>
        </w:tc>
        <w:tc>
          <w:tcPr>
            <w:tcW w:w="4125" w:type="dxa"/>
          </w:tcPr>
          <w:p w14:paraId="50E9F70B" w14:textId="008DEC45" w:rsidR="00245FE4" w:rsidRPr="00524907" w:rsidRDefault="00812B14" w:rsidP="00524907">
            <w:pPr>
              <w:rPr>
                <w:color w:val="1F3864" w:themeColor="accent1" w:themeShade="80"/>
                <w:sz w:val="20"/>
                <w:szCs w:val="20"/>
              </w:rPr>
            </w:pPr>
            <w:r>
              <w:rPr>
                <w:i/>
                <w:iCs/>
                <w:color w:val="7B7B7B" w:themeColor="accent3" w:themeShade="BF"/>
                <w:sz w:val="20"/>
                <w:szCs w:val="20"/>
              </w:rPr>
              <w:t>Add info or leave N/A</w:t>
            </w:r>
          </w:p>
        </w:tc>
      </w:tr>
    </w:tbl>
    <w:p w14:paraId="399C0834" w14:textId="77777777" w:rsidR="00E86C8F" w:rsidRDefault="00E86C8F"/>
    <w:p w14:paraId="42595722" w14:textId="40EDABB6" w:rsidR="00516590" w:rsidRPr="000B1F9D" w:rsidRDefault="6CBD3701" w:rsidP="79A36F32">
      <w:pPr>
        <w:pStyle w:val="Heading2"/>
        <w:numPr>
          <w:ilvl w:val="0"/>
          <w:numId w:val="1"/>
        </w:numPr>
        <w:rPr>
          <w:rFonts w:eastAsia="Arial" w:cs="Arial"/>
          <w:bCs/>
          <w:szCs w:val="28"/>
        </w:rPr>
      </w:pPr>
      <w:r>
        <w:t xml:space="preserve"> </w:t>
      </w:r>
      <w:r w:rsidR="00AC625E">
        <w:t>Transfer/Processor</w:t>
      </w:r>
      <w:r w:rsidR="7264450C">
        <w:t xml:space="preserve"> Rubric</w:t>
      </w:r>
      <w:r w:rsidR="00AC625E">
        <w:t xml:space="preserve">: </w:t>
      </w:r>
      <w:r w:rsidR="00845B3F">
        <w:t>Substitute a Quality Standard in place of the Measurement Requirements for Organic Waste Material Designated for Recovery</w:t>
      </w:r>
    </w:p>
    <w:p w14:paraId="253A439B" w14:textId="790792D7" w:rsidR="00692226" w:rsidRDefault="00692226" w:rsidP="00E86C8F">
      <w:pPr>
        <w:rPr>
          <w:b/>
          <w:bCs/>
          <w:sz w:val="23"/>
          <w:szCs w:val="23"/>
        </w:rPr>
      </w:pPr>
      <w:r>
        <w:rPr>
          <w:b/>
          <w:bCs/>
          <w:sz w:val="23"/>
          <w:szCs w:val="23"/>
        </w:rPr>
        <w:t>Pertinent regulatory text:</w:t>
      </w:r>
    </w:p>
    <w:p w14:paraId="4B66E30E" w14:textId="6D1B4312" w:rsidR="00E86C8F" w:rsidRDefault="00E86C8F" w:rsidP="00692226">
      <w:pPr>
        <w:pStyle w:val="ListParagraph"/>
        <w:numPr>
          <w:ilvl w:val="0"/>
          <w:numId w:val="11"/>
        </w:numPr>
      </w:pPr>
      <w:r w:rsidRPr="15B752D5">
        <w:rPr>
          <w:b/>
          <w:bCs/>
          <w:sz w:val="23"/>
          <w:szCs w:val="23"/>
        </w:rPr>
        <w:t>17409.5.9(c)</w:t>
      </w:r>
      <w:r w:rsidR="00B41DDB" w:rsidRPr="15B752D5">
        <w:rPr>
          <w:b/>
          <w:bCs/>
          <w:sz w:val="23"/>
          <w:szCs w:val="23"/>
        </w:rPr>
        <w:t xml:space="preserve">(1) </w:t>
      </w:r>
      <w:r w:rsidR="00B41DDB">
        <w:t>The EA may waive the requirements in Sections 17409.5.2,17409.5.4 and 17409.5.8 to sample a type of organic waste that the operator recovered from the source separated organic waste collection stream or from the mixed waste organic collection stream if the following apply:</w:t>
      </w:r>
    </w:p>
    <w:p w14:paraId="6FE72C4F" w14:textId="62BAAB77" w:rsidR="00812B14" w:rsidRDefault="007908B8" w:rsidP="03F074C7">
      <w:pPr>
        <w:pStyle w:val="ListParagraph"/>
        <w:numPr>
          <w:ilvl w:val="0"/>
          <w:numId w:val="11"/>
        </w:numPr>
      </w:pPr>
      <w:r w:rsidRPr="15B752D5">
        <w:rPr>
          <w:b/>
          <w:bCs/>
        </w:rPr>
        <w:t>17409.5.9(d)</w:t>
      </w:r>
      <w:r>
        <w:t xml:space="preserve"> An operator that is authorized to substitute a quality standard for sampling requirements as specified in Subdivision (c) for a specific type of recovered organic waste type shall apply the weight of incompatible materials as measured in the quality standard to total weight of that organic waste type for the purposes of determining organic waste recovery efficiency as specified in Section 17409.5.1.</w:t>
      </w:r>
    </w:p>
    <w:p w14:paraId="76F65094" w14:textId="77777777" w:rsidR="00812B14" w:rsidRDefault="00812B14">
      <w:r>
        <w:br w:type="page"/>
      </w:r>
    </w:p>
    <w:p w14:paraId="4E9D7D57" w14:textId="7C75B66D" w:rsidR="00812B14" w:rsidRDefault="56359F28" w:rsidP="03F074C7">
      <w:pPr>
        <w:rPr>
          <w:rFonts w:eastAsia="Arial" w:cs="Arial"/>
          <w:b/>
          <w:bCs/>
          <w:i/>
          <w:iCs/>
          <w:color w:val="000000" w:themeColor="text1"/>
        </w:rPr>
      </w:pPr>
      <w:r w:rsidRPr="03F074C7">
        <w:rPr>
          <w:rFonts w:eastAsia="Arial" w:cs="Arial"/>
          <w:b/>
          <w:bCs/>
          <w:i/>
          <w:iCs/>
          <w:color w:val="000000" w:themeColor="text1"/>
        </w:rPr>
        <w:lastRenderedPageBreak/>
        <w:t xml:space="preserve">*This table applies </w:t>
      </w:r>
      <w:r w:rsidR="00561AEB" w:rsidRPr="03F074C7">
        <w:rPr>
          <w:rFonts w:eastAsia="Arial" w:cs="Arial"/>
          <w:b/>
          <w:bCs/>
          <w:i/>
          <w:iCs/>
          <w:color w:val="000000" w:themeColor="text1"/>
        </w:rPr>
        <w:t>if</w:t>
      </w:r>
      <w:r w:rsidRPr="03F074C7">
        <w:rPr>
          <w:rFonts w:eastAsia="Arial" w:cs="Arial"/>
          <w:b/>
          <w:bCs/>
          <w:i/>
          <w:iCs/>
          <w:color w:val="000000" w:themeColor="text1"/>
        </w:rPr>
        <w:t xml:space="preserve"> the </w:t>
      </w:r>
      <w:r w:rsidR="00561AEB" w:rsidRPr="03F074C7">
        <w:rPr>
          <w:rFonts w:eastAsia="Arial" w:cs="Arial"/>
          <w:b/>
          <w:bCs/>
          <w:i/>
          <w:iCs/>
          <w:color w:val="000000" w:themeColor="text1"/>
        </w:rPr>
        <w:t xml:space="preserve">operator proposes an </w:t>
      </w:r>
      <w:r w:rsidRPr="03F074C7">
        <w:rPr>
          <w:rFonts w:eastAsia="Arial" w:cs="Arial"/>
          <w:b/>
          <w:bCs/>
          <w:i/>
          <w:iCs/>
          <w:color w:val="000000" w:themeColor="text1"/>
        </w:rPr>
        <w:t xml:space="preserve">alternative quality standard </w:t>
      </w:r>
      <w:r w:rsidR="00A15D89" w:rsidRPr="03F074C7">
        <w:rPr>
          <w:rFonts w:eastAsia="Arial" w:cs="Arial"/>
          <w:b/>
          <w:bCs/>
          <w:i/>
          <w:iCs/>
          <w:color w:val="000000" w:themeColor="text1"/>
        </w:rPr>
        <w:t>as described</w:t>
      </w:r>
      <w:r w:rsidR="67B24322" w:rsidRPr="03F074C7">
        <w:rPr>
          <w:rFonts w:eastAsia="Arial" w:cs="Arial"/>
          <w:b/>
          <w:bCs/>
          <w:i/>
          <w:iCs/>
          <w:color w:val="000000" w:themeColor="text1"/>
        </w:rPr>
        <w:t xml:space="preserve"> in Section 17409.5.8 in </w:t>
      </w:r>
      <w:r w:rsidRPr="03F074C7">
        <w:rPr>
          <w:rFonts w:eastAsia="Arial" w:cs="Arial"/>
          <w:b/>
          <w:bCs/>
          <w:i/>
          <w:iCs/>
          <w:color w:val="000000" w:themeColor="text1"/>
        </w:rPr>
        <w:t>Table 1 above.</w:t>
      </w:r>
      <w:r w:rsidR="655E4A9C" w:rsidRPr="03F074C7">
        <w:rPr>
          <w:rFonts w:eastAsia="Arial" w:cs="Arial"/>
          <w:b/>
          <w:bCs/>
          <w:i/>
          <w:iCs/>
          <w:color w:val="000000" w:themeColor="text1"/>
        </w:rPr>
        <w:t xml:space="preserve"> </w:t>
      </w:r>
    </w:p>
    <w:tbl>
      <w:tblPr>
        <w:tblStyle w:val="TableGrid"/>
        <w:tblW w:w="13495" w:type="dxa"/>
        <w:tblLook w:val="04A0" w:firstRow="1" w:lastRow="0" w:firstColumn="1" w:lastColumn="0" w:noHBand="0" w:noVBand="1"/>
        <w:tblCaption w:val="Table 2: Substitute Quality Standard Critiera Rubric"/>
      </w:tblPr>
      <w:tblGrid>
        <w:gridCol w:w="6146"/>
        <w:gridCol w:w="2579"/>
        <w:gridCol w:w="4770"/>
      </w:tblGrid>
      <w:tr w:rsidR="79A36F32" w14:paraId="07BC4ED9" w14:textId="77777777" w:rsidTr="5629A9B0">
        <w:tc>
          <w:tcPr>
            <w:tcW w:w="6146" w:type="dxa"/>
          </w:tcPr>
          <w:p w14:paraId="113DC0A5" w14:textId="34133645" w:rsidR="79A36F32" w:rsidRDefault="79A36F32" w:rsidP="79A36F32">
            <w:pPr>
              <w:rPr>
                <w:sz w:val="23"/>
                <w:szCs w:val="23"/>
              </w:rPr>
            </w:pPr>
          </w:p>
        </w:tc>
        <w:tc>
          <w:tcPr>
            <w:tcW w:w="2579" w:type="dxa"/>
          </w:tcPr>
          <w:p w14:paraId="4B6A56A5" w14:textId="0DA25B9C" w:rsidR="511BACE6" w:rsidRDefault="511BACE6" w:rsidP="79A36F32">
            <w:pPr>
              <w:rPr>
                <w:b/>
                <w:bCs/>
              </w:rPr>
            </w:pPr>
            <w:r w:rsidRPr="79A36F32">
              <w:rPr>
                <w:b/>
                <w:bCs/>
              </w:rPr>
              <w:t>Y</w:t>
            </w:r>
            <w:r w:rsidR="00812B14">
              <w:rPr>
                <w:b/>
                <w:bCs/>
              </w:rPr>
              <w:t>es</w:t>
            </w:r>
            <w:r w:rsidRPr="79A36F32">
              <w:rPr>
                <w:b/>
                <w:bCs/>
              </w:rPr>
              <w:t>/N</w:t>
            </w:r>
            <w:r w:rsidR="00812B14">
              <w:rPr>
                <w:b/>
                <w:bCs/>
              </w:rPr>
              <w:t>o</w:t>
            </w:r>
            <w:r w:rsidR="3F5F16A8" w:rsidRPr="79A36F32">
              <w:rPr>
                <w:b/>
                <w:bCs/>
              </w:rPr>
              <w:t>/Unknown</w:t>
            </w:r>
          </w:p>
        </w:tc>
        <w:tc>
          <w:tcPr>
            <w:tcW w:w="4770" w:type="dxa"/>
          </w:tcPr>
          <w:p w14:paraId="7166480E" w14:textId="4FD3770A" w:rsidR="511BACE6" w:rsidRDefault="511BACE6" w:rsidP="79A36F32">
            <w:pPr>
              <w:rPr>
                <w:b/>
                <w:bCs/>
              </w:rPr>
            </w:pPr>
            <w:r w:rsidRPr="79A36F32">
              <w:rPr>
                <w:b/>
                <w:bCs/>
              </w:rPr>
              <w:t>Information provided</w:t>
            </w:r>
          </w:p>
        </w:tc>
      </w:tr>
      <w:tr w:rsidR="008D22F4" w14:paraId="3DAD4585" w14:textId="77777777" w:rsidTr="5629A9B0">
        <w:tc>
          <w:tcPr>
            <w:tcW w:w="6146" w:type="dxa"/>
          </w:tcPr>
          <w:p w14:paraId="1C2CF5B2" w14:textId="078E7B38" w:rsidR="008D22F4" w:rsidRDefault="185A6014" w:rsidP="00361E00">
            <w:pPr>
              <w:rPr>
                <w:sz w:val="23"/>
                <w:szCs w:val="23"/>
              </w:rPr>
            </w:pPr>
            <w:r w:rsidRPr="79A36F32">
              <w:rPr>
                <w:sz w:val="23"/>
                <w:szCs w:val="23"/>
              </w:rPr>
              <w:t>(A) The person, entity, or solid waste facility or operation accepting that organic waste type requires the operator to demonstrate that the presence of incompatible materials in the organic waste type is less than or equal to the level of</w:t>
            </w:r>
            <w:r w:rsidR="745038B3" w:rsidRPr="79A36F32">
              <w:rPr>
                <w:sz w:val="23"/>
                <w:szCs w:val="23"/>
              </w:rPr>
              <w:t xml:space="preserve"> </w:t>
            </w:r>
            <w:r w:rsidRPr="79A36F32">
              <w:rPr>
                <w:sz w:val="23"/>
                <w:szCs w:val="23"/>
              </w:rPr>
              <w:t>incompatible materials specified in Section 17409.5.8(a)</w:t>
            </w:r>
          </w:p>
        </w:tc>
        <w:tc>
          <w:tcPr>
            <w:tcW w:w="2579" w:type="dxa"/>
          </w:tcPr>
          <w:p w14:paraId="03DA6C88" w14:textId="2FB4A7E8" w:rsidR="008D22F4" w:rsidRPr="00C1494C" w:rsidRDefault="4FEB5C6A" w:rsidP="5629A9B0">
            <w:pPr>
              <w:rPr>
                <w:i/>
                <w:iCs/>
                <w:color w:val="767171" w:themeColor="background2" w:themeShade="80"/>
                <w:sz w:val="20"/>
                <w:szCs w:val="20"/>
              </w:rPr>
            </w:pPr>
            <w:r w:rsidRPr="00C1494C">
              <w:rPr>
                <w:i/>
                <w:iCs/>
                <w:color w:val="767171" w:themeColor="background2" w:themeShade="80"/>
                <w:sz w:val="20"/>
                <w:szCs w:val="20"/>
              </w:rPr>
              <w:t xml:space="preserve">Answer yes/no or unknown to whether the proposed quality standard meets the criteria outlined in Column 1.  </w:t>
            </w:r>
          </w:p>
        </w:tc>
        <w:tc>
          <w:tcPr>
            <w:tcW w:w="4770" w:type="dxa"/>
          </w:tcPr>
          <w:p w14:paraId="6D826017" w14:textId="7042AC38" w:rsidR="008D22F4" w:rsidRPr="00C1494C" w:rsidRDefault="2F3DCF03" w:rsidP="5629A9B0">
            <w:pPr>
              <w:rPr>
                <w:i/>
                <w:iCs/>
                <w:color w:val="767171" w:themeColor="background2" w:themeShade="80"/>
                <w:sz w:val="20"/>
                <w:szCs w:val="20"/>
              </w:rPr>
            </w:pPr>
            <w:r w:rsidRPr="00C1494C">
              <w:rPr>
                <w:i/>
                <w:iCs/>
                <w:color w:val="767171" w:themeColor="background2" w:themeShade="80"/>
                <w:sz w:val="20"/>
                <w:szCs w:val="20"/>
              </w:rPr>
              <w:t>Any information provided that lead you to reach Yes/No</w:t>
            </w:r>
            <w:r w:rsidR="65A7FE63" w:rsidRPr="00C1494C">
              <w:rPr>
                <w:i/>
                <w:iCs/>
                <w:color w:val="767171" w:themeColor="background2" w:themeShade="80"/>
                <w:sz w:val="20"/>
                <w:szCs w:val="20"/>
              </w:rPr>
              <w:t>/Unknown</w:t>
            </w:r>
            <w:r w:rsidRPr="00C1494C">
              <w:rPr>
                <w:i/>
                <w:iCs/>
                <w:color w:val="767171" w:themeColor="background2" w:themeShade="80"/>
                <w:sz w:val="20"/>
                <w:szCs w:val="20"/>
              </w:rPr>
              <w:t xml:space="preserve"> conclusion.</w:t>
            </w:r>
            <w:r w:rsidR="7E3E599E" w:rsidRPr="00C1494C">
              <w:rPr>
                <w:i/>
                <w:iCs/>
                <w:color w:val="767171" w:themeColor="background2" w:themeShade="80"/>
                <w:sz w:val="20"/>
                <w:szCs w:val="20"/>
              </w:rPr>
              <w:t xml:space="preserve"> </w:t>
            </w:r>
            <w:r w:rsidR="7CB04468" w:rsidRPr="00C1494C">
              <w:rPr>
                <w:i/>
                <w:iCs/>
                <w:color w:val="767171" w:themeColor="background2" w:themeShade="80"/>
                <w:sz w:val="20"/>
                <w:szCs w:val="20"/>
              </w:rPr>
              <w:t xml:space="preserve">What additional information is </w:t>
            </w:r>
            <w:proofErr w:type="gramStart"/>
            <w:r w:rsidR="7CB04468" w:rsidRPr="00C1494C">
              <w:rPr>
                <w:i/>
                <w:iCs/>
                <w:color w:val="767171" w:themeColor="background2" w:themeShade="80"/>
                <w:sz w:val="20"/>
                <w:szCs w:val="20"/>
              </w:rPr>
              <w:t>needed, if</w:t>
            </w:r>
            <w:proofErr w:type="gramEnd"/>
            <w:r w:rsidR="7CB04468" w:rsidRPr="00C1494C">
              <w:rPr>
                <w:i/>
                <w:iCs/>
                <w:color w:val="767171" w:themeColor="background2" w:themeShade="80"/>
                <w:sz w:val="20"/>
                <w:szCs w:val="20"/>
              </w:rPr>
              <w:t xml:space="preserve"> answer is No or Unknown?</w:t>
            </w:r>
          </w:p>
        </w:tc>
      </w:tr>
      <w:tr w:rsidR="008D22F4" w14:paraId="3A662C71" w14:textId="77777777" w:rsidTr="5629A9B0">
        <w:tc>
          <w:tcPr>
            <w:tcW w:w="6146" w:type="dxa"/>
          </w:tcPr>
          <w:p w14:paraId="0C6112FF" w14:textId="1914F7BE" w:rsidR="00361E00" w:rsidRPr="00361E00" w:rsidRDefault="00361E00" w:rsidP="00361E00">
            <w:pPr>
              <w:rPr>
                <w:sz w:val="23"/>
                <w:szCs w:val="23"/>
              </w:rPr>
            </w:pPr>
            <w:r>
              <w:rPr>
                <w:sz w:val="23"/>
                <w:szCs w:val="23"/>
              </w:rPr>
              <w:t xml:space="preserve">(B) </w:t>
            </w:r>
            <w:r w:rsidRPr="00361E00">
              <w:rPr>
                <w:sz w:val="23"/>
                <w:szCs w:val="23"/>
              </w:rPr>
              <w:t>The person, entity, or solid waste facility or operation accepting that organic</w:t>
            </w:r>
            <w:r>
              <w:rPr>
                <w:sz w:val="23"/>
                <w:szCs w:val="23"/>
              </w:rPr>
              <w:t xml:space="preserve"> </w:t>
            </w:r>
            <w:r w:rsidRPr="00361E00">
              <w:rPr>
                <w:sz w:val="23"/>
                <w:szCs w:val="23"/>
              </w:rPr>
              <w:t>waste type requires the operator to demonstrate the presence of incompatible</w:t>
            </w:r>
          </w:p>
          <w:p w14:paraId="3B50E033" w14:textId="54710180" w:rsidR="008D22F4" w:rsidRDefault="00361E00" w:rsidP="00361E00">
            <w:pPr>
              <w:rPr>
                <w:sz w:val="23"/>
                <w:szCs w:val="23"/>
              </w:rPr>
            </w:pPr>
            <w:r w:rsidRPr="00361E00">
              <w:rPr>
                <w:sz w:val="23"/>
                <w:szCs w:val="23"/>
              </w:rPr>
              <w:t>materials through sampling</w:t>
            </w:r>
            <w:r>
              <w:rPr>
                <w:sz w:val="23"/>
                <w:szCs w:val="23"/>
              </w:rPr>
              <w:t>.</w:t>
            </w:r>
          </w:p>
        </w:tc>
        <w:tc>
          <w:tcPr>
            <w:tcW w:w="2579" w:type="dxa"/>
          </w:tcPr>
          <w:p w14:paraId="28B5D90C" w14:textId="48C8F666" w:rsidR="008D22F4" w:rsidRPr="00350898" w:rsidRDefault="00812B14" w:rsidP="00E86C8F">
            <w:pPr>
              <w:rPr>
                <w:color w:val="1F3864" w:themeColor="accent1" w:themeShade="80"/>
                <w:sz w:val="20"/>
                <w:szCs w:val="20"/>
              </w:rPr>
            </w:pPr>
            <w:r>
              <w:rPr>
                <w:i/>
                <w:iCs/>
                <w:color w:val="7B7B7B" w:themeColor="accent3" w:themeShade="BF"/>
                <w:sz w:val="20"/>
                <w:szCs w:val="20"/>
              </w:rPr>
              <w:t>Add info or leave N/A</w:t>
            </w:r>
          </w:p>
        </w:tc>
        <w:tc>
          <w:tcPr>
            <w:tcW w:w="4770" w:type="dxa"/>
          </w:tcPr>
          <w:p w14:paraId="63547700" w14:textId="60A17461" w:rsidR="008D22F4" w:rsidRPr="00350898" w:rsidRDefault="00812B14" w:rsidP="00E86C8F">
            <w:pPr>
              <w:rPr>
                <w:color w:val="1F3864" w:themeColor="accent1" w:themeShade="80"/>
                <w:sz w:val="20"/>
                <w:szCs w:val="20"/>
              </w:rPr>
            </w:pPr>
            <w:r>
              <w:rPr>
                <w:i/>
                <w:iCs/>
                <w:color w:val="7B7B7B" w:themeColor="accent3" w:themeShade="BF"/>
                <w:sz w:val="20"/>
                <w:szCs w:val="20"/>
              </w:rPr>
              <w:t>Add info or leave N/A</w:t>
            </w:r>
          </w:p>
        </w:tc>
      </w:tr>
      <w:tr w:rsidR="008D22F4" w14:paraId="3656D489" w14:textId="77777777" w:rsidTr="5629A9B0">
        <w:tc>
          <w:tcPr>
            <w:tcW w:w="6146" w:type="dxa"/>
          </w:tcPr>
          <w:p w14:paraId="405FA22B" w14:textId="3F546EF0" w:rsidR="00361E00" w:rsidRDefault="00361E00" w:rsidP="00361E00">
            <w:r>
              <w:t>(C) The sampling protocol that is used to meet the quality standard of the person, entity, or solid waste facility or operation accepting that organic waste type is</w:t>
            </w:r>
          </w:p>
          <w:p w14:paraId="7CC3C509" w14:textId="51754D14" w:rsidR="008D22F4" w:rsidRDefault="00361E00" w:rsidP="00361E00">
            <w:pPr>
              <w:rPr>
                <w:sz w:val="23"/>
                <w:szCs w:val="23"/>
              </w:rPr>
            </w:pPr>
            <w:r>
              <w:t>designed to accurately reveal the percentage of incompatible material by weight that is present in the samples.</w:t>
            </w:r>
          </w:p>
        </w:tc>
        <w:tc>
          <w:tcPr>
            <w:tcW w:w="2579" w:type="dxa"/>
          </w:tcPr>
          <w:p w14:paraId="7D6AF03D" w14:textId="2CFA9876" w:rsidR="008D22F4" w:rsidRPr="00350898" w:rsidRDefault="00812B14" w:rsidP="00E86C8F">
            <w:pPr>
              <w:rPr>
                <w:color w:val="1F3864" w:themeColor="accent1" w:themeShade="80"/>
                <w:sz w:val="20"/>
                <w:szCs w:val="20"/>
              </w:rPr>
            </w:pPr>
            <w:r>
              <w:rPr>
                <w:i/>
                <w:iCs/>
                <w:color w:val="7B7B7B" w:themeColor="accent3" w:themeShade="BF"/>
                <w:sz w:val="20"/>
                <w:szCs w:val="20"/>
              </w:rPr>
              <w:t>Add info or leave N/A</w:t>
            </w:r>
          </w:p>
        </w:tc>
        <w:tc>
          <w:tcPr>
            <w:tcW w:w="4770" w:type="dxa"/>
          </w:tcPr>
          <w:p w14:paraId="0A8F4BAD" w14:textId="24B7BDF0" w:rsidR="008D22F4" w:rsidRPr="00350898" w:rsidRDefault="00812B14" w:rsidP="00E86C8F">
            <w:pPr>
              <w:rPr>
                <w:color w:val="1F3864" w:themeColor="accent1" w:themeShade="80"/>
                <w:sz w:val="20"/>
                <w:szCs w:val="20"/>
              </w:rPr>
            </w:pPr>
            <w:r>
              <w:rPr>
                <w:i/>
                <w:iCs/>
                <w:color w:val="7B7B7B" w:themeColor="accent3" w:themeShade="BF"/>
                <w:sz w:val="20"/>
                <w:szCs w:val="20"/>
              </w:rPr>
              <w:t>Add info or leave N/A</w:t>
            </w:r>
          </w:p>
        </w:tc>
      </w:tr>
      <w:tr w:rsidR="008D22F4" w14:paraId="1281E154" w14:textId="77777777" w:rsidTr="5629A9B0">
        <w:tc>
          <w:tcPr>
            <w:tcW w:w="6146" w:type="dxa"/>
          </w:tcPr>
          <w:p w14:paraId="240C962A" w14:textId="4CDCF812" w:rsidR="00361E00" w:rsidRDefault="00361E00" w:rsidP="00361E00">
            <w:r>
              <w:t>(D) The end-user and the operator have a contract or written agreement specifying the sampling protocol and the maximum level of incompatible materials allowed in</w:t>
            </w:r>
          </w:p>
          <w:p w14:paraId="3C245773" w14:textId="036E021D" w:rsidR="008D22F4" w:rsidRDefault="00361E00" w:rsidP="00361E00">
            <w:pPr>
              <w:rPr>
                <w:sz w:val="23"/>
                <w:szCs w:val="23"/>
              </w:rPr>
            </w:pPr>
            <w:r>
              <w:t>the organic material before it is accepted by the end-use</w:t>
            </w:r>
          </w:p>
        </w:tc>
        <w:tc>
          <w:tcPr>
            <w:tcW w:w="2579" w:type="dxa"/>
          </w:tcPr>
          <w:p w14:paraId="593B9BC9" w14:textId="37FE5636" w:rsidR="008D22F4" w:rsidRPr="00350898" w:rsidRDefault="00812B14" w:rsidP="00E86C8F">
            <w:pPr>
              <w:rPr>
                <w:color w:val="1F3864" w:themeColor="accent1" w:themeShade="80"/>
                <w:sz w:val="20"/>
                <w:szCs w:val="20"/>
              </w:rPr>
            </w:pPr>
            <w:r>
              <w:rPr>
                <w:i/>
                <w:iCs/>
                <w:color w:val="7B7B7B" w:themeColor="accent3" w:themeShade="BF"/>
                <w:sz w:val="20"/>
                <w:szCs w:val="20"/>
              </w:rPr>
              <w:t>Add info or leave N/A</w:t>
            </w:r>
          </w:p>
        </w:tc>
        <w:tc>
          <w:tcPr>
            <w:tcW w:w="4770" w:type="dxa"/>
          </w:tcPr>
          <w:p w14:paraId="5ED45305" w14:textId="333E2E09" w:rsidR="008D22F4" w:rsidRPr="00350898" w:rsidRDefault="00812B14" w:rsidP="00E86C8F">
            <w:pPr>
              <w:rPr>
                <w:color w:val="1F3864" w:themeColor="accent1" w:themeShade="80"/>
                <w:sz w:val="20"/>
                <w:szCs w:val="20"/>
              </w:rPr>
            </w:pPr>
            <w:r>
              <w:rPr>
                <w:i/>
                <w:iCs/>
                <w:color w:val="7B7B7B" w:themeColor="accent3" w:themeShade="BF"/>
                <w:sz w:val="20"/>
                <w:szCs w:val="20"/>
              </w:rPr>
              <w:t>Add info or leave N/A</w:t>
            </w:r>
          </w:p>
        </w:tc>
      </w:tr>
      <w:tr w:rsidR="008D22F4" w14:paraId="63B4FCBC" w14:textId="77777777" w:rsidTr="5629A9B0">
        <w:trPr>
          <w:trHeight w:val="50"/>
        </w:trPr>
        <w:tc>
          <w:tcPr>
            <w:tcW w:w="6146" w:type="dxa"/>
          </w:tcPr>
          <w:p w14:paraId="1BAE0652" w14:textId="42454F6A" w:rsidR="008D22F4" w:rsidRDefault="00361E00" w:rsidP="00E86C8F">
            <w:pPr>
              <w:rPr>
                <w:sz w:val="23"/>
                <w:szCs w:val="23"/>
              </w:rPr>
            </w:pPr>
            <w:r w:rsidRPr="00361E00">
              <w:t>(E) The contract or written agreement is available for review by the EA</w:t>
            </w:r>
          </w:p>
        </w:tc>
        <w:tc>
          <w:tcPr>
            <w:tcW w:w="2579" w:type="dxa"/>
          </w:tcPr>
          <w:p w14:paraId="7E35311B" w14:textId="7378CFA1" w:rsidR="008D22F4" w:rsidRPr="00350898" w:rsidRDefault="00812B14" w:rsidP="00E86C8F">
            <w:pPr>
              <w:rPr>
                <w:color w:val="1F3864" w:themeColor="accent1" w:themeShade="80"/>
                <w:sz w:val="20"/>
                <w:szCs w:val="20"/>
              </w:rPr>
            </w:pPr>
            <w:r>
              <w:rPr>
                <w:i/>
                <w:iCs/>
                <w:color w:val="7B7B7B" w:themeColor="accent3" w:themeShade="BF"/>
                <w:sz w:val="20"/>
                <w:szCs w:val="20"/>
              </w:rPr>
              <w:t>Add info or leave N/A</w:t>
            </w:r>
          </w:p>
        </w:tc>
        <w:tc>
          <w:tcPr>
            <w:tcW w:w="4770" w:type="dxa"/>
          </w:tcPr>
          <w:p w14:paraId="59A9D749" w14:textId="7CC254D0" w:rsidR="008D22F4" w:rsidRPr="00350898" w:rsidRDefault="00812B14" w:rsidP="00E86C8F">
            <w:pPr>
              <w:rPr>
                <w:color w:val="1F3864" w:themeColor="accent1" w:themeShade="80"/>
                <w:sz w:val="20"/>
                <w:szCs w:val="20"/>
              </w:rPr>
            </w:pPr>
            <w:r>
              <w:rPr>
                <w:i/>
                <w:iCs/>
                <w:color w:val="7B7B7B" w:themeColor="accent3" w:themeShade="BF"/>
                <w:sz w:val="20"/>
                <w:szCs w:val="20"/>
              </w:rPr>
              <w:t>Add info or leave N/A</w:t>
            </w:r>
          </w:p>
        </w:tc>
      </w:tr>
      <w:tr w:rsidR="008D22F4" w14:paraId="5CD20DEF" w14:textId="77777777" w:rsidTr="5629A9B0">
        <w:tc>
          <w:tcPr>
            <w:tcW w:w="6146" w:type="dxa"/>
          </w:tcPr>
          <w:p w14:paraId="3150A3BF" w14:textId="68FCABDA" w:rsidR="008D22F4" w:rsidRDefault="00361E00" w:rsidP="00361E00">
            <w:pPr>
              <w:rPr>
                <w:sz w:val="23"/>
                <w:szCs w:val="23"/>
              </w:rPr>
            </w:pPr>
            <w:r>
              <w:t>(F) The sampling protocol is at least as effective as the sampling required in Sections 17409.5.2, 17409.5.4 and 17409.5.8</w:t>
            </w:r>
          </w:p>
        </w:tc>
        <w:tc>
          <w:tcPr>
            <w:tcW w:w="2579" w:type="dxa"/>
          </w:tcPr>
          <w:p w14:paraId="7DA69BFE" w14:textId="1E66E406" w:rsidR="008D22F4" w:rsidRDefault="00812B14" w:rsidP="00E86C8F">
            <w:pPr>
              <w:rPr>
                <w:sz w:val="23"/>
                <w:szCs w:val="23"/>
              </w:rPr>
            </w:pPr>
            <w:r>
              <w:rPr>
                <w:i/>
                <w:iCs/>
                <w:color w:val="7B7B7B" w:themeColor="accent3" w:themeShade="BF"/>
                <w:sz w:val="20"/>
                <w:szCs w:val="20"/>
              </w:rPr>
              <w:t>Add info or leave N/A</w:t>
            </w:r>
          </w:p>
        </w:tc>
        <w:tc>
          <w:tcPr>
            <w:tcW w:w="4770" w:type="dxa"/>
          </w:tcPr>
          <w:p w14:paraId="7BBB55A8" w14:textId="463C9D2F" w:rsidR="008D22F4" w:rsidRDefault="00812B14" w:rsidP="00E86C8F">
            <w:pPr>
              <w:rPr>
                <w:sz w:val="23"/>
                <w:szCs w:val="23"/>
              </w:rPr>
            </w:pPr>
            <w:r>
              <w:rPr>
                <w:i/>
                <w:iCs/>
                <w:color w:val="7B7B7B" w:themeColor="accent3" w:themeShade="BF"/>
                <w:sz w:val="20"/>
                <w:szCs w:val="20"/>
              </w:rPr>
              <w:t>Add info or leave N/A</w:t>
            </w:r>
          </w:p>
        </w:tc>
      </w:tr>
      <w:tr w:rsidR="008D22F4" w14:paraId="59D50FDF" w14:textId="77777777" w:rsidTr="5629A9B0">
        <w:tc>
          <w:tcPr>
            <w:tcW w:w="6146" w:type="dxa"/>
          </w:tcPr>
          <w:p w14:paraId="016D6611" w14:textId="631B5439" w:rsidR="008D22F4" w:rsidRDefault="00361E00" w:rsidP="00E86C8F">
            <w:pPr>
              <w:rPr>
                <w:sz w:val="23"/>
                <w:szCs w:val="23"/>
              </w:rPr>
            </w:pPr>
            <w:r w:rsidRPr="00361E00">
              <w:t>(G) The operator allows the EA to observe sampling upon request</w:t>
            </w:r>
          </w:p>
        </w:tc>
        <w:tc>
          <w:tcPr>
            <w:tcW w:w="2579" w:type="dxa"/>
          </w:tcPr>
          <w:p w14:paraId="5CF13E4A" w14:textId="6C468CC0" w:rsidR="008D22F4" w:rsidRDefault="00812B14" w:rsidP="00E86C8F">
            <w:pPr>
              <w:rPr>
                <w:sz w:val="23"/>
                <w:szCs w:val="23"/>
              </w:rPr>
            </w:pPr>
            <w:r>
              <w:rPr>
                <w:i/>
                <w:iCs/>
                <w:color w:val="7B7B7B" w:themeColor="accent3" w:themeShade="BF"/>
                <w:sz w:val="20"/>
                <w:szCs w:val="20"/>
              </w:rPr>
              <w:t>Add info or leave N/A</w:t>
            </w:r>
          </w:p>
        </w:tc>
        <w:tc>
          <w:tcPr>
            <w:tcW w:w="4770" w:type="dxa"/>
          </w:tcPr>
          <w:p w14:paraId="2DEF8BDB" w14:textId="69928208" w:rsidR="008D22F4" w:rsidRDefault="00812B14" w:rsidP="00E86C8F">
            <w:pPr>
              <w:rPr>
                <w:sz w:val="23"/>
                <w:szCs w:val="23"/>
              </w:rPr>
            </w:pPr>
            <w:r>
              <w:rPr>
                <w:i/>
                <w:iCs/>
                <w:color w:val="7B7B7B" w:themeColor="accent3" w:themeShade="BF"/>
                <w:sz w:val="20"/>
                <w:szCs w:val="20"/>
              </w:rPr>
              <w:t>Add info or leave N/A</w:t>
            </w:r>
          </w:p>
        </w:tc>
      </w:tr>
    </w:tbl>
    <w:p w14:paraId="5BC3482C" w14:textId="4DCD695B" w:rsidR="009B4BBB" w:rsidRDefault="053FC401" w:rsidP="10DAA3C9">
      <w:pPr>
        <w:pStyle w:val="Heading2"/>
        <w:numPr>
          <w:ilvl w:val="0"/>
          <w:numId w:val="1"/>
        </w:numPr>
        <w:rPr>
          <w:rFonts w:eastAsia="Arial" w:cs="Arial"/>
          <w:bCs/>
          <w:szCs w:val="28"/>
        </w:rPr>
      </w:pPr>
      <w:r>
        <w:lastRenderedPageBreak/>
        <w:t xml:space="preserve"> </w:t>
      </w:r>
      <w:r w:rsidR="009B4BBB">
        <w:t>Composting</w:t>
      </w:r>
      <w:r w:rsidR="17212070">
        <w:t xml:space="preserve"> </w:t>
      </w:r>
      <w:r w:rsidR="7508D1D3">
        <w:t xml:space="preserve">Facility/Activity </w:t>
      </w:r>
      <w:r w:rsidR="17212070">
        <w:t>Rubric</w:t>
      </w:r>
      <w:r w:rsidR="009B4BBB">
        <w:t xml:space="preserve">: </w:t>
      </w:r>
      <w:r w:rsidR="00F16BB1">
        <w:t>Alternative</w:t>
      </w:r>
      <w:r w:rsidR="009B4BBB">
        <w:t xml:space="preserve"> for measuring organic waste in material sent to disposal</w:t>
      </w:r>
    </w:p>
    <w:p w14:paraId="761B87F3" w14:textId="215FB318" w:rsidR="00040F8E" w:rsidRPr="00692226" w:rsidRDefault="00692226" w:rsidP="79A36F32">
      <w:pPr>
        <w:rPr>
          <w:sz w:val="23"/>
          <w:szCs w:val="23"/>
        </w:rPr>
      </w:pPr>
      <w:r w:rsidRPr="58228618">
        <w:rPr>
          <w:b/>
          <w:bCs/>
          <w:sz w:val="23"/>
          <w:szCs w:val="23"/>
        </w:rPr>
        <w:t>Pertinent regulatory text:</w:t>
      </w:r>
      <w:r w:rsidR="3E6C1BDC" w:rsidRPr="58228618">
        <w:rPr>
          <w:b/>
          <w:bCs/>
          <w:sz w:val="23"/>
          <w:szCs w:val="23"/>
        </w:rPr>
        <w:t xml:space="preserve"> </w:t>
      </w:r>
      <w:r w:rsidR="00040F8E" w:rsidRPr="58228618">
        <w:rPr>
          <w:b/>
          <w:bCs/>
          <w:sz w:val="23"/>
          <w:szCs w:val="23"/>
        </w:rPr>
        <w:t>17867(a)(16)(E)</w:t>
      </w:r>
      <w:r w:rsidR="007B071C" w:rsidRPr="58228618">
        <w:rPr>
          <w:b/>
          <w:bCs/>
          <w:sz w:val="23"/>
          <w:szCs w:val="23"/>
        </w:rPr>
        <w:t xml:space="preserve"> </w:t>
      </w:r>
      <w:r w:rsidR="007B071C">
        <w:t>An alternative measurement protocol for determining the amount of organic waste sent to landfill disposal may be approved by the EA, with concurrence by the Department. For the purposes of this section, alternative measurement protocols may include, but are not limited to, measurements made with a different sampling frequency and/or weight than those specified in this article. The Department shall concur with EA approval if it finds that the alternative measurement protocol will ensure that the measurements will be as accurate as those in Subsection (a)(16)(A) and (B), above.</w:t>
      </w:r>
    </w:p>
    <w:tbl>
      <w:tblPr>
        <w:tblStyle w:val="TableGrid"/>
        <w:tblW w:w="13495" w:type="dxa"/>
        <w:tblLook w:val="04A0" w:firstRow="1" w:lastRow="0" w:firstColumn="1" w:lastColumn="0" w:noHBand="0" w:noVBand="1"/>
        <w:tblCaption w:val="Table 3: Alternative Measurement Proposals for Composting Facility Rubrics"/>
      </w:tblPr>
      <w:tblGrid>
        <w:gridCol w:w="4045"/>
        <w:gridCol w:w="3780"/>
        <w:gridCol w:w="5670"/>
      </w:tblGrid>
      <w:tr w:rsidR="008D22F4" w14:paraId="22579496" w14:textId="77777777" w:rsidTr="79A36F32">
        <w:tc>
          <w:tcPr>
            <w:tcW w:w="4045" w:type="dxa"/>
          </w:tcPr>
          <w:p w14:paraId="4503413F" w14:textId="3E6465C1" w:rsidR="008D22F4" w:rsidRDefault="00AC625E" w:rsidP="00040F8E">
            <w:r>
              <w:t>Alternative</w:t>
            </w:r>
            <w:r w:rsidR="008D22F4">
              <w:t xml:space="preserve"> proposed</w:t>
            </w:r>
          </w:p>
        </w:tc>
        <w:tc>
          <w:tcPr>
            <w:tcW w:w="3780" w:type="dxa"/>
          </w:tcPr>
          <w:p w14:paraId="28EAE328" w14:textId="113A529C" w:rsidR="008D22F4" w:rsidRDefault="008D22F4" w:rsidP="00040F8E">
            <w:r>
              <w:t>Measurements as accurate as 17867(a)(16)(A)-(B)?</w:t>
            </w:r>
            <w:r w:rsidR="2C3E97FF">
              <w:t xml:space="preserve"> (Y</w:t>
            </w:r>
            <w:r w:rsidR="00812B14">
              <w:t>es</w:t>
            </w:r>
            <w:r w:rsidR="2C3E97FF">
              <w:t>/N</w:t>
            </w:r>
            <w:r w:rsidR="00812B14">
              <w:t>o</w:t>
            </w:r>
            <w:r w:rsidR="2C3E97FF">
              <w:t>/Unknown)</w:t>
            </w:r>
          </w:p>
        </w:tc>
        <w:tc>
          <w:tcPr>
            <w:tcW w:w="5670" w:type="dxa"/>
          </w:tcPr>
          <w:p w14:paraId="56194421" w14:textId="4E478DF4" w:rsidR="008D22F4" w:rsidRDefault="008D22F4" w:rsidP="00040F8E">
            <w:r>
              <w:t>Information given to support</w:t>
            </w:r>
            <w:r w:rsidR="7AFB66C3">
              <w:t xml:space="preserve"> finding</w:t>
            </w:r>
          </w:p>
        </w:tc>
      </w:tr>
      <w:tr w:rsidR="008D22F4" w14:paraId="4EBAFFFD" w14:textId="77777777" w:rsidTr="79A36F32">
        <w:tc>
          <w:tcPr>
            <w:tcW w:w="4045" w:type="dxa"/>
          </w:tcPr>
          <w:p w14:paraId="14EBF5DE" w14:textId="5D58951E" w:rsidR="008D22F4" w:rsidRDefault="00812B14" w:rsidP="00040F8E">
            <w:r>
              <w:rPr>
                <w:i/>
                <w:iCs/>
                <w:color w:val="7B7B7B" w:themeColor="accent3" w:themeShade="BF"/>
                <w:sz w:val="20"/>
                <w:szCs w:val="20"/>
              </w:rPr>
              <w:t>Add info or leave N/A</w:t>
            </w:r>
          </w:p>
        </w:tc>
        <w:tc>
          <w:tcPr>
            <w:tcW w:w="3780" w:type="dxa"/>
          </w:tcPr>
          <w:p w14:paraId="3B44020B" w14:textId="3493567B" w:rsidR="008D22F4" w:rsidRDefault="00812B14" w:rsidP="00040F8E">
            <w:r>
              <w:rPr>
                <w:i/>
                <w:iCs/>
                <w:color w:val="7B7B7B" w:themeColor="accent3" w:themeShade="BF"/>
                <w:sz w:val="20"/>
                <w:szCs w:val="20"/>
              </w:rPr>
              <w:t>Add info or leave N/A</w:t>
            </w:r>
          </w:p>
        </w:tc>
        <w:tc>
          <w:tcPr>
            <w:tcW w:w="5670" w:type="dxa"/>
          </w:tcPr>
          <w:p w14:paraId="3B0F22E8" w14:textId="136983E7" w:rsidR="008D22F4" w:rsidRDefault="00812B14" w:rsidP="00040F8E">
            <w:r>
              <w:rPr>
                <w:i/>
                <w:iCs/>
                <w:color w:val="7B7B7B" w:themeColor="accent3" w:themeShade="BF"/>
                <w:sz w:val="20"/>
                <w:szCs w:val="20"/>
              </w:rPr>
              <w:t>Add info or leave N/A</w:t>
            </w:r>
          </w:p>
        </w:tc>
      </w:tr>
      <w:tr w:rsidR="008D22F4" w14:paraId="542B6E7E" w14:textId="77777777" w:rsidTr="79A36F32">
        <w:tc>
          <w:tcPr>
            <w:tcW w:w="4045" w:type="dxa"/>
          </w:tcPr>
          <w:p w14:paraId="76FB615A" w14:textId="2A5D9A2F" w:rsidR="008D22F4" w:rsidRDefault="00812B14" w:rsidP="00040F8E">
            <w:r>
              <w:rPr>
                <w:i/>
                <w:iCs/>
                <w:color w:val="7B7B7B" w:themeColor="accent3" w:themeShade="BF"/>
                <w:sz w:val="20"/>
                <w:szCs w:val="20"/>
              </w:rPr>
              <w:t>Add info or leave N/A</w:t>
            </w:r>
          </w:p>
        </w:tc>
        <w:tc>
          <w:tcPr>
            <w:tcW w:w="3780" w:type="dxa"/>
          </w:tcPr>
          <w:p w14:paraId="24D2AEBC" w14:textId="51F5F8E1" w:rsidR="008D22F4" w:rsidRDefault="00812B14" w:rsidP="00040F8E">
            <w:r>
              <w:rPr>
                <w:i/>
                <w:iCs/>
                <w:color w:val="7B7B7B" w:themeColor="accent3" w:themeShade="BF"/>
                <w:sz w:val="20"/>
                <w:szCs w:val="20"/>
              </w:rPr>
              <w:t>Add info or leave N/A</w:t>
            </w:r>
          </w:p>
        </w:tc>
        <w:tc>
          <w:tcPr>
            <w:tcW w:w="5670" w:type="dxa"/>
          </w:tcPr>
          <w:p w14:paraId="418631A5" w14:textId="64599FE9" w:rsidR="008D22F4" w:rsidRDefault="00812B14" w:rsidP="00040F8E">
            <w:r>
              <w:rPr>
                <w:i/>
                <w:iCs/>
                <w:color w:val="7B7B7B" w:themeColor="accent3" w:themeShade="BF"/>
                <w:sz w:val="20"/>
                <w:szCs w:val="20"/>
              </w:rPr>
              <w:t>Add info or leave N/A</w:t>
            </w:r>
          </w:p>
        </w:tc>
      </w:tr>
    </w:tbl>
    <w:p w14:paraId="40079C64" w14:textId="77777777" w:rsidR="008D22F4" w:rsidRDefault="008D22F4" w:rsidP="00040F8E"/>
    <w:p w14:paraId="0CD62430" w14:textId="1EAAECCA" w:rsidR="009B4BBB" w:rsidRDefault="5F518E47" w:rsidP="10DAA3C9">
      <w:pPr>
        <w:pStyle w:val="Heading2"/>
        <w:numPr>
          <w:ilvl w:val="0"/>
          <w:numId w:val="1"/>
        </w:numPr>
        <w:rPr>
          <w:rFonts w:eastAsia="Arial" w:cs="Arial"/>
          <w:bCs/>
          <w:szCs w:val="28"/>
        </w:rPr>
      </w:pPr>
      <w:r>
        <w:t xml:space="preserve"> </w:t>
      </w:r>
      <w:r w:rsidR="009B4BBB">
        <w:t>In-Vessel Digestion</w:t>
      </w:r>
      <w:r w:rsidR="121CB4C7">
        <w:t xml:space="preserve"> Rubric</w:t>
      </w:r>
      <w:r w:rsidR="009B4BBB">
        <w:t>: A</w:t>
      </w:r>
      <w:r w:rsidR="00F16BB1">
        <w:t>lternative</w:t>
      </w:r>
      <w:r w:rsidR="009B4BBB">
        <w:t xml:space="preserve"> for measuring organic waste in material sent to disposal</w:t>
      </w:r>
    </w:p>
    <w:p w14:paraId="20F8B5B2" w14:textId="6F665F8E" w:rsidR="00040F8E" w:rsidRPr="00692226" w:rsidRDefault="00692226" w:rsidP="79A36F32">
      <w:pPr>
        <w:rPr>
          <w:sz w:val="23"/>
          <w:szCs w:val="23"/>
        </w:rPr>
      </w:pPr>
      <w:r w:rsidRPr="58228618">
        <w:rPr>
          <w:b/>
          <w:bCs/>
          <w:sz w:val="23"/>
          <w:szCs w:val="23"/>
        </w:rPr>
        <w:t>Pertinent regulatory text:</w:t>
      </w:r>
      <w:r w:rsidR="4E9F2030" w:rsidRPr="58228618">
        <w:rPr>
          <w:b/>
          <w:bCs/>
          <w:sz w:val="23"/>
          <w:szCs w:val="23"/>
        </w:rPr>
        <w:t xml:space="preserve"> </w:t>
      </w:r>
      <w:r w:rsidR="008D22F4" w:rsidRPr="58228618">
        <w:rPr>
          <w:b/>
          <w:bCs/>
          <w:sz w:val="23"/>
          <w:szCs w:val="23"/>
        </w:rPr>
        <w:t>17896.44.1(d)</w:t>
      </w:r>
      <w:r w:rsidR="009B4BBB" w:rsidRPr="58228618">
        <w:rPr>
          <w:b/>
          <w:bCs/>
          <w:sz w:val="23"/>
          <w:szCs w:val="23"/>
        </w:rPr>
        <w:t xml:space="preserve"> </w:t>
      </w:r>
      <w:r w:rsidR="009B4BBB">
        <w:t>An alternative measurement protocol for determining the amount of organic waste contained in the residual may be approved by the EA, with concurrence by the Department. For the purposes of this section, alternative measurement protocols may include, but are not limited to, measurements made with a different sampling frequency and/or weight than those specified in this article. The Department shall concur with EA approval if it finds that the alternative measurement protocol will ensure that the measurements will be as accurate as those described in Subsection (a)(1) and (2), above.</w:t>
      </w:r>
    </w:p>
    <w:tbl>
      <w:tblPr>
        <w:tblStyle w:val="TableGrid"/>
        <w:tblW w:w="13495" w:type="dxa"/>
        <w:tblLook w:val="04A0" w:firstRow="1" w:lastRow="0" w:firstColumn="1" w:lastColumn="0" w:noHBand="0" w:noVBand="1"/>
        <w:tblCaption w:val="Table 4: Alternative Measurement Proposals for In-Vessel Digestion Rubric"/>
      </w:tblPr>
      <w:tblGrid>
        <w:gridCol w:w="4045"/>
        <w:gridCol w:w="3780"/>
        <w:gridCol w:w="5670"/>
      </w:tblGrid>
      <w:tr w:rsidR="008D22F4" w14:paraId="03719790" w14:textId="77777777" w:rsidTr="001E1C3B">
        <w:tc>
          <w:tcPr>
            <w:tcW w:w="4045" w:type="dxa"/>
          </w:tcPr>
          <w:p w14:paraId="4B35F7F3" w14:textId="439D2E90" w:rsidR="008D22F4" w:rsidRDefault="00AC625E" w:rsidP="0076458F">
            <w:r>
              <w:t>Alternative proposed</w:t>
            </w:r>
          </w:p>
        </w:tc>
        <w:tc>
          <w:tcPr>
            <w:tcW w:w="3780" w:type="dxa"/>
          </w:tcPr>
          <w:p w14:paraId="70760F86" w14:textId="1789D96A" w:rsidR="008D22F4" w:rsidRDefault="008D22F4" w:rsidP="0076458F">
            <w:r>
              <w:t>Measurements as accurate as 17896.44.1(a)(1)-(2)?</w:t>
            </w:r>
          </w:p>
        </w:tc>
        <w:tc>
          <w:tcPr>
            <w:tcW w:w="5670" w:type="dxa"/>
          </w:tcPr>
          <w:p w14:paraId="7C3E773F" w14:textId="5E6B9C3B" w:rsidR="008D22F4" w:rsidRDefault="008D22F4" w:rsidP="0076458F">
            <w:r>
              <w:t>Information given to support</w:t>
            </w:r>
            <w:r w:rsidR="00B123D1">
              <w:t xml:space="preserve"> finding</w:t>
            </w:r>
          </w:p>
        </w:tc>
      </w:tr>
      <w:tr w:rsidR="008D22F4" w14:paraId="4DE4DB93" w14:textId="77777777" w:rsidTr="001E1C3B">
        <w:tc>
          <w:tcPr>
            <w:tcW w:w="4045" w:type="dxa"/>
          </w:tcPr>
          <w:p w14:paraId="37D0238A" w14:textId="63F0C155" w:rsidR="008D22F4" w:rsidRDefault="00812B14" w:rsidP="0076458F">
            <w:r>
              <w:rPr>
                <w:i/>
                <w:iCs/>
                <w:color w:val="7B7B7B" w:themeColor="accent3" w:themeShade="BF"/>
                <w:sz w:val="20"/>
                <w:szCs w:val="20"/>
              </w:rPr>
              <w:t>Add info or leave N/A</w:t>
            </w:r>
          </w:p>
        </w:tc>
        <w:tc>
          <w:tcPr>
            <w:tcW w:w="3780" w:type="dxa"/>
          </w:tcPr>
          <w:p w14:paraId="46F02FC3" w14:textId="77F6EC16" w:rsidR="008D22F4" w:rsidRDefault="00812B14" w:rsidP="0076458F">
            <w:r>
              <w:rPr>
                <w:i/>
                <w:iCs/>
                <w:color w:val="7B7B7B" w:themeColor="accent3" w:themeShade="BF"/>
                <w:sz w:val="20"/>
                <w:szCs w:val="20"/>
              </w:rPr>
              <w:t>Add info or leave N/A</w:t>
            </w:r>
          </w:p>
        </w:tc>
        <w:tc>
          <w:tcPr>
            <w:tcW w:w="5670" w:type="dxa"/>
          </w:tcPr>
          <w:p w14:paraId="07652263" w14:textId="6BB99F77" w:rsidR="008D22F4" w:rsidRDefault="00812B14" w:rsidP="0076458F">
            <w:r>
              <w:rPr>
                <w:i/>
                <w:iCs/>
                <w:color w:val="7B7B7B" w:themeColor="accent3" w:themeShade="BF"/>
                <w:sz w:val="20"/>
                <w:szCs w:val="20"/>
              </w:rPr>
              <w:t>Add info or leave N/A</w:t>
            </w:r>
          </w:p>
        </w:tc>
      </w:tr>
      <w:tr w:rsidR="008D22F4" w14:paraId="565C1F35" w14:textId="77777777" w:rsidTr="001E1C3B">
        <w:tc>
          <w:tcPr>
            <w:tcW w:w="4045" w:type="dxa"/>
          </w:tcPr>
          <w:p w14:paraId="5FC8654D" w14:textId="2635C5ED" w:rsidR="008D22F4" w:rsidRDefault="00812B14" w:rsidP="0076458F">
            <w:r>
              <w:rPr>
                <w:i/>
                <w:iCs/>
                <w:color w:val="7B7B7B" w:themeColor="accent3" w:themeShade="BF"/>
                <w:sz w:val="20"/>
                <w:szCs w:val="20"/>
              </w:rPr>
              <w:t>Add info or leave N/A</w:t>
            </w:r>
          </w:p>
        </w:tc>
        <w:tc>
          <w:tcPr>
            <w:tcW w:w="3780" w:type="dxa"/>
          </w:tcPr>
          <w:p w14:paraId="25E31F14" w14:textId="56CC03C6" w:rsidR="008D22F4" w:rsidRDefault="00812B14" w:rsidP="0076458F">
            <w:r>
              <w:rPr>
                <w:i/>
                <w:iCs/>
                <w:color w:val="7B7B7B" w:themeColor="accent3" w:themeShade="BF"/>
                <w:sz w:val="20"/>
                <w:szCs w:val="20"/>
              </w:rPr>
              <w:t>Add info or leave N/A</w:t>
            </w:r>
          </w:p>
        </w:tc>
        <w:tc>
          <w:tcPr>
            <w:tcW w:w="5670" w:type="dxa"/>
          </w:tcPr>
          <w:p w14:paraId="152C0F85" w14:textId="4B277E95" w:rsidR="008D22F4" w:rsidRDefault="00812B14" w:rsidP="0076458F">
            <w:r>
              <w:rPr>
                <w:i/>
                <w:iCs/>
                <w:color w:val="7B7B7B" w:themeColor="accent3" w:themeShade="BF"/>
                <w:sz w:val="20"/>
                <w:szCs w:val="20"/>
              </w:rPr>
              <w:t>Add info or leave N/A</w:t>
            </w:r>
          </w:p>
        </w:tc>
      </w:tr>
    </w:tbl>
    <w:p w14:paraId="2EB0AEFD" w14:textId="77777777" w:rsidR="008D22F4" w:rsidRPr="00040F8E" w:rsidRDefault="008D22F4" w:rsidP="00040F8E">
      <w:pPr>
        <w:rPr>
          <w:sz w:val="23"/>
          <w:szCs w:val="23"/>
        </w:rPr>
      </w:pPr>
    </w:p>
    <w:p w14:paraId="078D7F2E" w14:textId="06A297FA" w:rsidR="0F065932" w:rsidRDefault="0F065932" w:rsidP="5629A9B0">
      <w:pPr>
        <w:pStyle w:val="Heading2"/>
        <w:numPr>
          <w:ilvl w:val="0"/>
          <w:numId w:val="1"/>
        </w:numPr>
        <w:rPr>
          <w:rFonts w:eastAsia="Arial" w:cs="Arial"/>
          <w:bCs/>
          <w:szCs w:val="28"/>
        </w:rPr>
      </w:pPr>
      <w:r w:rsidRPr="5629A9B0">
        <w:lastRenderedPageBreak/>
        <w:t>Terminology:</w:t>
      </w:r>
    </w:p>
    <w:p w14:paraId="72798B65" w14:textId="3AFDD8ED" w:rsidR="0F065932" w:rsidRDefault="0F065932" w:rsidP="0790013F">
      <w:pPr>
        <w:rPr>
          <w:rFonts w:eastAsia="Arial" w:cs="Arial"/>
          <w:color w:val="000000" w:themeColor="text1"/>
        </w:rPr>
      </w:pPr>
      <w:r w:rsidRPr="15B752D5">
        <w:rPr>
          <w:rFonts w:eastAsia="Arial" w:cs="Arial"/>
          <w:color w:val="000000" w:themeColor="text1"/>
        </w:rPr>
        <w:t xml:space="preserve">Consider using terminology consistent with the regulations. This table outlines terms found within the study and the assumption of what it is being referred to.  </w:t>
      </w:r>
    </w:p>
    <w:tbl>
      <w:tblPr>
        <w:tblStyle w:val="TableGrid"/>
        <w:tblW w:w="0" w:type="auto"/>
        <w:tblLayout w:type="fixed"/>
        <w:tblLook w:val="04A0" w:firstRow="1" w:lastRow="0" w:firstColumn="1" w:lastColumn="0" w:noHBand="0" w:noVBand="1"/>
      </w:tblPr>
      <w:tblGrid>
        <w:gridCol w:w="3870"/>
        <w:gridCol w:w="8730"/>
      </w:tblGrid>
      <w:tr w:rsidR="0790013F" w14:paraId="46FF02DF" w14:textId="77777777" w:rsidTr="00812B14">
        <w:tc>
          <w:tcPr>
            <w:tcW w:w="3870" w:type="dxa"/>
            <w:tcBorders>
              <w:top w:val="single" w:sz="6" w:space="0" w:color="auto"/>
              <w:left w:val="single" w:sz="6" w:space="0" w:color="auto"/>
              <w:bottom w:val="single" w:sz="6" w:space="0" w:color="auto"/>
              <w:right w:val="single" w:sz="6" w:space="0" w:color="auto"/>
            </w:tcBorders>
            <w:shd w:val="clear" w:color="auto" w:fill="auto"/>
            <w:vAlign w:val="center"/>
          </w:tcPr>
          <w:p w14:paraId="2432A68A" w14:textId="4F84B747" w:rsidR="0790013F" w:rsidRDefault="16367A3E" w:rsidP="00812B14">
            <w:pPr>
              <w:spacing w:line="259" w:lineRule="auto"/>
              <w:rPr>
                <w:rFonts w:eastAsia="Arial" w:cs="Arial"/>
              </w:rPr>
            </w:pPr>
            <w:r w:rsidRPr="03F074C7">
              <w:rPr>
                <w:rFonts w:eastAsia="Arial" w:cs="Arial"/>
              </w:rPr>
              <w:t>Term/Phrase Used</w:t>
            </w:r>
          </w:p>
        </w:tc>
        <w:tc>
          <w:tcPr>
            <w:tcW w:w="8730" w:type="dxa"/>
            <w:tcBorders>
              <w:top w:val="single" w:sz="6" w:space="0" w:color="auto"/>
              <w:left w:val="single" w:sz="6" w:space="0" w:color="auto"/>
              <w:bottom w:val="single" w:sz="6" w:space="0" w:color="auto"/>
              <w:right w:val="single" w:sz="6" w:space="0" w:color="auto"/>
            </w:tcBorders>
            <w:shd w:val="clear" w:color="auto" w:fill="auto"/>
            <w:vAlign w:val="center"/>
          </w:tcPr>
          <w:p w14:paraId="476B69C6" w14:textId="25DA07AF" w:rsidR="0790013F" w:rsidRDefault="16367A3E" w:rsidP="00812B14">
            <w:pPr>
              <w:spacing w:line="259" w:lineRule="auto"/>
              <w:rPr>
                <w:rFonts w:eastAsia="Arial" w:cs="Arial"/>
              </w:rPr>
            </w:pPr>
            <w:r w:rsidRPr="03F074C7">
              <w:rPr>
                <w:rFonts w:eastAsia="Arial" w:cs="Arial"/>
              </w:rPr>
              <w:t>Appropriate SB 1383 Terminology to Use</w:t>
            </w:r>
          </w:p>
        </w:tc>
      </w:tr>
      <w:tr w:rsidR="0790013F" w14:paraId="1D8D8679" w14:textId="77777777" w:rsidTr="03F074C7">
        <w:tc>
          <w:tcPr>
            <w:tcW w:w="3870" w:type="dxa"/>
            <w:tcBorders>
              <w:top w:val="single" w:sz="6" w:space="0" w:color="auto"/>
              <w:left w:val="single" w:sz="6" w:space="0" w:color="auto"/>
              <w:bottom w:val="single" w:sz="6" w:space="0" w:color="auto"/>
              <w:right w:val="single" w:sz="6" w:space="0" w:color="auto"/>
            </w:tcBorders>
            <w:vAlign w:val="center"/>
          </w:tcPr>
          <w:p w14:paraId="5A371FB7" w14:textId="452FF8C3" w:rsidR="0790013F" w:rsidRDefault="00812B14" w:rsidP="0790013F">
            <w:pPr>
              <w:spacing w:line="259" w:lineRule="auto"/>
              <w:jc w:val="center"/>
              <w:rPr>
                <w:rFonts w:eastAsia="Arial" w:cs="Arial"/>
                <w:b/>
                <w:bCs/>
              </w:rPr>
            </w:pPr>
            <w:r>
              <w:rPr>
                <w:i/>
                <w:iCs/>
                <w:color w:val="7B7B7B" w:themeColor="accent3" w:themeShade="BF"/>
                <w:sz w:val="20"/>
                <w:szCs w:val="20"/>
              </w:rPr>
              <w:t>Add info or leave N/A</w:t>
            </w:r>
          </w:p>
        </w:tc>
        <w:tc>
          <w:tcPr>
            <w:tcW w:w="8730" w:type="dxa"/>
            <w:tcBorders>
              <w:top w:val="single" w:sz="6" w:space="0" w:color="auto"/>
              <w:left w:val="single" w:sz="6" w:space="0" w:color="auto"/>
              <w:bottom w:val="single" w:sz="6" w:space="0" w:color="auto"/>
              <w:right w:val="single" w:sz="6" w:space="0" w:color="auto"/>
            </w:tcBorders>
            <w:vAlign w:val="center"/>
          </w:tcPr>
          <w:p w14:paraId="0516FB0A" w14:textId="5C673A7D" w:rsidR="0790013F" w:rsidRDefault="00812B14" w:rsidP="0790013F">
            <w:pPr>
              <w:spacing w:line="259" w:lineRule="auto"/>
              <w:jc w:val="center"/>
              <w:rPr>
                <w:rFonts w:eastAsia="Arial" w:cs="Arial"/>
                <w:b/>
                <w:bCs/>
              </w:rPr>
            </w:pPr>
            <w:r>
              <w:rPr>
                <w:i/>
                <w:iCs/>
                <w:color w:val="7B7B7B" w:themeColor="accent3" w:themeShade="BF"/>
                <w:sz w:val="20"/>
                <w:szCs w:val="20"/>
              </w:rPr>
              <w:t>Add info or leave N/A</w:t>
            </w:r>
          </w:p>
        </w:tc>
      </w:tr>
      <w:tr w:rsidR="0790013F" w14:paraId="405C63E3" w14:textId="77777777" w:rsidTr="03F074C7">
        <w:tc>
          <w:tcPr>
            <w:tcW w:w="3870" w:type="dxa"/>
            <w:tcBorders>
              <w:top w:val="single" w:sz="6" w:space="0" w:color="auto"/>
              <w:left w:val="single" w:sz="6" w:space="0" w:color="auto"/>
              <w:bottom w:val="single" w:sz="6" w:space="0" w:color="auto"/>
              <w:right w:val="single" w:sz="6" w:space="0" w:color="auto"/>
            </w:tcBorders>
            <w:vAlign w:val="center"/>
          </w:tcPr>
          <w:p w14:paraId="4BC5F920" w14:textId="7F3BAB97" w:rsidR="0790013F" w:rsidRDefault="00812B14" w:rsidP="0790013F">
            <w:pPr>
              <w:spacing w:line="259" w:lineRule="auto"/>
              <w:jc w:val="center"/>
              <w:rPr>
                <w:rFonts w:eastAsia="Arial" w:cs="Arial"/>
                <w:b/>
                <w:bCs/>
              </w:rPr>
            </w:pPr>
            <w:r>
              <w:rPr>
                <w:i/>
                <w:iCs/>
                <w:color w:val="7B7B7B" w:themeColor="accent3" w:themeShade="BF"/>
                <w:sz w:val="20"/>
                <w:szCs w:val="20"/>
              </w:rPr>
              <w:t>Add info or leave N/A</w:t>
            </w:r>
          </w:p>
        </w:tc>
        <w:tc>
          <w:tcPr>
            <w:tcW w:w="8730" w:type="dxa"/>
            <w:tcBorders>
              <w:top w:val="single" w:sz="6" w:space="0" w:color="auto"/>
              <w:left w:val="single" w:sz="6" w:space="0" w:color="auto"/>
              <w:bottom w:val="single" w:sz="6" w:space="0" w:color="auto"/>
              <w:right w:val="single" w:sz="6" w:space="0" w:color="auto"/>
            </w:tcBorders>
            <w:vAlign w:val="center"/>
          </w:tcPr>
          <w:p w14:paraId="58D93090" w14:textId="2F32CC6C" w:rsidR="0790013F" w:rsidRDefault="00812B14" w:rsidP="0790013F">
            <w:pPr>
              <w:spacing w:line="259" w:lineRule="auto"/>
              <w:jc w:val="center"/>
              <w:rPr>
                <w:rFonts w:eastAsia="Arial" w:cs="Arial"/>
                <w:b/>
                <w:bCs/>
              </w:rPr>
            </w:pPr>
            <w:r>
              <w:rPr>
                <w:i/>
                <w:iCs/>
                <w:color w:val="7B7B7B" w:themeColor="accent3" w:themeShade="BF"/>
                <w:sz w:val="20"/>
                <w:szCs w:val="20"/>
              </w:rPr>
              <w:t>Add info or leave N/A</w:t>
            </w:r>
          </w:p>
        </w:tc>
      </w:tr>
      <w:tr w:rsidR="0790013F" w14:paraId="11742E85" w14:textId="77777777" w:rsidTr="03F074C7">
        <w:tc>
          <w:tcPr>
            <w:tcW w:w="3870" w:type="dxa"/>
            <w:tcBorders>
              <w:top w:val="single" w:sz="6" w:space="0" w:color="auto"/>
              <w:left w:val="single" w:sz="6" w:space="0" w:color="auto"/>
              <w:bottom w:val="single" w:sz="6" w:space="0" w:color="auto"/>
              <w:right w:val="single" w:sz="6" w:space="0" w:color="auto"/>
            </w:tcBorders>
            <w:vAlign w:val="center"/>
          </w:tcPr>
          <w:p w14:paraId="1CC37CB7" w14:textId="4AD91BC8" w:rsidR="0790013F" w:rsidRDefault="00812B14" w:rsidP="0790013F">
            <w:pPr>
              <w:spacing w:line="259" w:lineRule="auto"/>
              <w:jc w:val="center"/>
              <w:rPr>
                <w:rFonts w:eastAsia="Arial" w:cs="Arial"/>
                <w:b/>
                <w:bCs/>
              </w:rPr>
            </w:pPr>
            <w:r>
              <w:rPr>
                <w:i/>
                <w:iCs/>
                <w:color w:val="7B7B7B" w:themeColor="accent3" w:themeShade="BF"/>
                <w:sz w:val="20"/>
                <w:szCs w:val="20"/>
              </w:rPr>
              <w:t>Add info or leave N/A</w:t>
            </w:r>
          </w:p>
        </w:tc>
        <w:tc>
          <w:tcPr>
            <w:tcW w:w="8730" w:type="dxa"/>
            <w:tcBorders>
              <w:top w:val="single" w:sz="6" w:space="0" w:color="auto"/>
              <w:left w:val="single" w:sz="6" w:space="0" w:color="auto"/>
              <w:bottom w:val="single" w:sz="6" w:space="0" w:color="auto"/>
              <w:right w:val="single" w:sz="6" w:space="0" w:color="auto"/>
            </w:tcBorders>
            <w:vAlign w:val="center"/>
          </w:tcPr>
          <w:p w14:paraId="4963325B" w14:textId="060BAB9D" w:rsidR="0790013F" w:rsidRDefault="00812B14" w:rsidP="0790013F">
            <w:pPr>
              <w:spacing w:line="259" w:lineRule="auto"/>
              <w:jc w:val="center"/>
              <w:rPr>
                <w:rFonts w:eastAsia="Arial" w:cs="Arial"/>
                <w:b/>
                <w:bCs/>
              </w:rPr>
            </w:pPr>
            <w:r>
              <w:rPr>
                <w:i/>
                <w:iCs/>
                <w:color w:val="7B7B7B" w:themeColor="accent3" w:themeShade="BF"/>
                <w:sz w:val="20"/>
                <w:szCs w:val="20"/>
              </w:rPr>
              <w:t>Add info or leave N/A</w:t>
            </w:r>
          </w:p>
        </w:tc>
      </w:tr>
    </w:tbl>
    <w:p w14:paraId="3340132E" w14:textId="772422EE" w:rsidR="0790013F" w:rsidRDefault="0790013F" w:rsidP="0790013F">
      <w:pPr>
        <w:rPr>
          <w:rFonts w:eastAsia="Arial" w:cs="Arial"/>
          <w:color w:val="000000" w:themeColor="text1"/>
        </w:rPr>
      </w:pPr>
    </w:p>
    <w:p w14:paraId="1E4872C9" w14:textId="1EA9BB10" w:rsidR="00772D1B" w:rsidRPr="00F16BB1" w:rsidRDefault="00772D1B" w:rsidP="10DAA3C9">
      <w:pPr>
        <w:pStyle w:val="Heading2"/>
      </w:pPr>
      <w:r>
        <w:t>Additional</w:t>
      </w:r>
      <w:r w:rsidR="641B98A0">
        <w:t xml:space="preserve"> Notes</w:t>
      </w:r>
    </w:p>
    <w:p w14:paraId="03D19722" w14:textId="0192197E" w:rsidR="3F622C66" w:rsidRDefault="3F622C66" w:rsidP="10DAA3C9">
      <w:pPr>
        <w:pStyle w:val="Heading2"/>
        <w:spacing w:after="0"/>
        <w:rPr>
          <w:rFonts w:eastAsia="Arial" w:cs="Arial"/>
          <w:bCs/>
          <w:color w:val="000000" w:themeColor="text1"/>
          <w:sz w:val="24"/>
        </w:rPr>
      </w:pPr>
      <w:r w:rsidRPr="10DAA3C9">
        <w:rPr>
          <w:rFonts w:eastAsia="Arial" w:cs="Arial"/>
          <w:bCs/>
          <w:color w:val="000000" w:themeColor="text1"/>
          <w:sz w:val="24"/>
        </w:rPr>
        <w:t>Additional Comments/Questions</w:t>
      </w:r>
      <w:r w:rsidR="2263F059" w:rsidRPr="10DAA3C9">
        <w:rPr>
          <w:rFonts w:eastAsia="Arial" w:cs="Arial"/>
          <w:bCs/>
          <w:color w:val="000000" w:themeColor="text1"/>
          <w:sz w:val="24"/>
        </w:rPr>
        <w:t xml:space="preserve"> (reference section)</w:t>
      </w:r>
      <w:r w:rsidR="4C2010A7" w:rsidRPr="10DAA3C9">
        <w:rPr>
          <w:rFonts w:eastAsia="Arial" w:cs="Arial"/>
          <w:bCs/>
          <w:color w:val="000000" w:themeColor="text1"/>
          <w:sz w:val="24"/>
        </w:rPr>
        <w:t>:</w:t>
      </w:r>
    </w:p>
    <w:p w14:paraId="76999284" w14:textId="271BC13C" w:rsidR="10DAA3C9" w:rsidRDefault="10DAA3C9" w:rsidP="10DAA3C9">
      <w:pPr>
        <w:spacing w:before="40" w:after="0" w:line="240" w:lineRule="auto"/>
        <w:rPr>
          <w:rFonts w:eastAsia="Arial" w:cs="Arial"/>
          <w:b/>
          <w:bCs/>
          <w:color w:val="000000" w:themeColor="text1"/>
          <w:sz w:val="28"/>
          <w:szCs w:val="28"/>
        </w:rPr>
      </w:pPr>
    </w:p>
    <w:p w14:paraId="36E22EE2" w14:textId="16F17C86" w:rsidR="3F622C66" w:rsidRDefault="3F622C66" w:rsidP="10DAA3C9">
      <w:pPr>
        <w:pStyle w:val="Heading2"/>
        <w:spacing w:after="0" w:line="240" w:lineRule="auto"/>
        <w:rPr>
          <w:rFonts w:eastAsia="Arial" w:cs="Arial"/>
          <w:bCs/>
          <w:color w:val="000000" w:themeColor="text1"/>
          <w:sz w:val="24"/>
        </w:rPr>
      </w:pPr>
      <w:r w:rsidRPr="10DAA3C9">
        <w:rPr>
          <w:rFonts w:eastAsia="Arial" w:cs="Arial"/>
          <w:bCs/>
          <w:color w:val="000000" w:themeColor="text1"/>
          <w:sz w:val="24"/>
        </w:rPr>
        <w:t>Remaining Questions</w:t>
      </w:r>
      <w:r w:rsidR="3490C960" w:rsidRPr="10DAA3C9">
        <w:rPr>
          <w:rFonts w:eastAsia="Arial" w:cs="Arial"/>
          <w:bCs/>
          <w:color w:val="000000" w:themeColor="text1"/>
          <w:sz w:val="24"/>
        </w:rPr>
        <w:t xml:space="preserve"> (reference section)</w:t>
      </w:r>
      <w:r w:rsidR="543624BA" w:rsidRPr="10DAA3C9">
        <w:rPr>
          <w:rFonts w:eastAsia="Arial" w:cs="Arial"/>
          <w:bCs/>
          <w:color w:val="000000" w:themeColor="text1"/>
          <w:sz w:val="24"/>
        </w:rPr>
        <w:t>:</w:t>
      </w:r>
    </w:p>
    <w:p w14:paraId="7FC76F67" w14:textId="4FE0E0CB" w:rsidR="10DAA3C9" w:rsidRDefault="10DAA3C9" w:rsidP="10DAA3C9">
      <w:pPr>
        <w:rPr>
          <w:rFonts w:eastAsia="Arial" w:cs="Arial"/>
          <w:color w:val="000000" w:themeColor="text1"/>
        </w:rPr>
      </w:pPr>
    </w:p>
    <w:p w14:paraId="42D570B8" w14:textId="1E0CECCF" w:rsidR="3F622C66" w:rsidRDefault="3F622C66" w:rsidP="370BB629">
      <w:pPr>
        <w:pStyle w:val="Heading2"/>
        <w:spacing w:after="0" w:line="240" w:lineRule="auto"/>
        <w:rPr>
          <w:rFonts w:eastAsia="Arial" w:cs="Arial"/>
          <w:color w:val="000000" w:themeColor="text1"/>
          <w:sz w:val="24"/>
        </w:rPr>
      </w:pPr>
      <w:r w:rsidRPr="370BB629">
        <w:rPr>
          <w:rFonts w:eastAsia="Arial" w:cs="Arial"/>
          <w:color w:val="000000" w:themeColor="text1"/>
          <w:sz w:val="24"/>
        </w:rPr>
        <w:t>Components falling outside scope of alternative measurement protocols</w:t>
      </w:r>
      <w:r w:rsidR="19ABBBF4" w:rsidRPr="370BB629">
        <w:rPr>
          <w:rFonts w:eastAsia="Arial" w:cs="Arial"/>
          <w:color w:val="000000" w:themeColor="text1"/>
          <w:sz w:val="24"/>
        </w:rPr>
        <w:t xml:space="preserve"> (reference section)</w:t>
      </w:r>
      <w:r w:rsidRPr="370BB629">
        <w:rPr>
          <w:rFonts w:eastAsia="Arial" w:cs="Arial"/>
          <w:color w:val="000000" w:themeColor="text1"/>
          <w:sz w:val="24"/>
        </w:rPr>
        <w:t>:</w:t>
      </w:r>
    </w:p>
    <w:p w14:paraId="1A51F685" w14:textId="4CCB3066" w:rsidR="10DAA3C9" w:rsidRDefault="10DAA3C9" w:rsidP="370BB629"/>
    <w:p w14:paraId="74ACA3CB" w14:textId="22DAAA8C" w:rsidR="10DAA3C9" w:rsidRDefault="10DAA3C9" w:rsidP="370BB629"/>
    <w:p w14:paraId="1DB9C02E" w14:textId="76053924" w:rsidR="15B752D5" w:rsidRDefault="15B752D5" w:rsidP="15B752D5">
      <w:pPr>
        <w:rPr>
          <w:rFonts w:eastAsia="Arial" w:cs="Arial"/>
          <w:color w:val="000000" w:themeColor="text1"/>
        </w:rPr>
      </w:pPr>
      <w:r w:rsidRPr="15B752D5">
        <w:rPr>
          <w:rFonts w:eastAsia="Arial" w:cs="Arial"/>
          <w:i/>
          <w:iCs/>
          <w:color w:val="000000" w:themeColor="text1"/>
        </w:rPr>
        <w:t xml:space="preserve">This guidance tool was developed by CalRecycle as a courtesy for informational and example purposes only. Use of this tool is optional and is not a regulatory requirement. In the event of any conflict with this guidance tool or information herein, applicable statutory and regulatory provisions shall control. This tool and information herein are based on known facts and legal authority as understood by CalRecycle at the time of release. Any analysis, guidance, or other information herein may be subject to change based on changed facts or legal authority, actual or understood, </w:t>
      </w:r>
      <w:proofErr w:type="gramStart"/>
      <w:r w:rsidRPr="15B752D5">
        <w:rPr>
          <w:rFonts w:eastAsia="Arial" w:cs="Arial"/>
          <w:i/>
          <w:iCs/>
          <w:color w:val="000000" w:themeColor="text1"/>
        </w:rPr>
        <w:t>subsequent to</w:t>
      </w:r>
      <w:proofErr w:type="gramEnd"/>
      <w:r w:rsidRPr="15B752D5">
        <w:rPr>
          <w:rFonts w:eastAsia="Arial" w:cs="Arial"/>
          <w:i/>
          <w:iCs/>
          <w:color w:val="000000" w:themeColor="text1"/>
        </w:rPr>
        <w:t xml:space="preserve"> the publishing of this tool. The provision of this guidance tool and any analysis, guidance, or other information herein shall not be construed as a waiver of any rights or remedies available to CalRecycle. Users are encouraged to seek the assistance of legal counsel to comply with applicable state law based on their pertinent facts and circumstances.</w:t>
      </w:r>
    </w:p>
    <w:p w14:paraId="171745D7" w14:textId="274B3801" w:rsidR="15B752D5" w:rsidRDefault="15B752D5" w:rsidP="15B752D5">
      <w:pPr>
        <w:spacing w:after="0" w:line="257" w:lineRule="auto"/>
        <w:rPr>
          <w:rFonts w:eastAsia="Arial" w:cs="Arial"/>
          <w:i/>
          <w:iCs/>
        </w:rPr>
      </w:pPr>
    </w:p>
    <w:sectPr w:rsidR="15B752D5" w:rsidSect="001E1C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04D"/>
    <w:multiLevelType w:val="hybridMultilevel"/>
    <w:tmpl w:val="FC9CAC4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716E97"/>
    <w:multiLevelType w:val="hybridMultilevel"/>
    <w:tmpl w:val="D6E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F202E"/>
    <w:multiLevelType w:val="multilevel"/>
    <w:tmpl w:val="5CEEA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F0AFE"/>
    <w:multiLevelType w:val="hybridMultilevel"/>
    <w:tmpl w:val="B72C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27934"/>
    <w:multiLevelType w:val="hybridMultilevel"/>
    <w:tmpl w:val="9154C9B0"/>
    <w:lvl w:ilvl="0" w:tplc="34E6AE3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0B6C"/>
    <w:multiLevelType w:val="hybridMultilevel"/>
    <w:tmpl w:val="0F626288"/>
    <w:lvl w:ilvl="0" w:tplc="1E5C32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03B71"/>
    <w:multiLevelType w:val="hybridMultilevel"/>
    <w:tmpl w:val="4DA64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37A5F"/>
    <w:multiLevelType w:val="hybridMultilevel"/>
    <w:tmpl w:val="AE382780"/>
    <w:lvl w:ilvl="0" w:tplc="A69091A8">
      <w:start w:val="1"/>
      <w:numFmt w:val="decimal"/>
      <w:lvlText w:val="%1."/>
      <w:lvlJc w:val="left"/>
      <w:pPr>
        <w:ind w:left="720" w:hanging="360"/>
      </w:pPr>
    </w:lvl>
    <w:lvl w:ilvl="1" w:tplc="61767370">
      <w:start w:val="1"/>
      <w:numFmt w:val="lowerLetter"/>
      <w:lvlText w:val="%2."/>
      <w:lvlJc w:val="left"/>
      <w:pPr>
        <w:ind w:left="1440" w:hanging="360"/>
      </w:pPr>
    </w:lvl>
    <w:lvl w:ilvl="2" w:tplc="02B2B4D0">
      <w:start w:val="1"/>
      <w:numFmt w:val="lowerRoman"/>
      <w:lvlText w:val="%3."/>
      <w:lvlJc w:val="right"/>
      <w:pPr>
        <w:ind w:left="2160" w:hanging="180"/>
      </w:pPr>
    </w:lvl>
    <w:lvl w:ilvl="3" w:tplc="3F701C16">
      <w:start w:val="1"/>
      <w:numFmt w:val="decimal"/>
      <w:lvlText w:val="%4."/>
      <w:lvlJc w:val="left"/>
      <w:pPr>
        <w:ind w:left="2880" w:hanging="360"/>
      </w:pPr>
    </w:lvl>
    <w:lvl w:ilvl="4" w:tplc="CB680D66">
      <w:start w:val="1"/>
      <w:numFmt w:val="lowerLetter"/>
      <w:lvlText w:val="%5."/>
      <w:lvlJc w:val="left"/>
      <w:pPr>
        <w:ind w:left="3600" w:hanging="360"/>
      </w:pPr>
    </w:lvl>
    <w:lvl w:ilvl="5" w:tplc="844857CC">
      <w:start w:val="1"/>
      <w:numFmt w:val="lowerRoman"/>
      <w:lvlText w:val="%6."/>
      <w:lvlJc w:val="right"/>
      <w:pPr>
        <w:ind w:left="4320" w:hanging="180"/>
      </w:pPr>
    </w:lvl>
    <w:lvl w:ilvl="6" w:tplc="C50A9D7A">
      <w:start w:val="1"/>
      <w:numFmt w:val="decimal"/>
      <w:lvlText w:val="%7."/>
      <w:lvlJc w:val="left"/>
      <w:pPr>
        <w:ind w:left="5040" w:hanging="360"/>
      </w:pPr>
    </w:lvl>
    <w:lvl w:ilvl="7" w:tplc="FA58B8B0">
      <w:start w:val="1"/>
      <w:numFmt w:val="lowerLetter"/>
      <w:lvlText w:val="%8."/>
      <w:lvlJc w:val="left"/>
      <w:pPr>
        <w:ind w:left="5760" w:hanging="360"/>
      </w:pPr>
    </w:lvl>
    <w:lvl w:ilvl="8" w:tplc="AD96E954">
      <w:start w:val="1"/>
      <w:numFmt w:val="lowerRoman"/>
      <w:lvlText w:val="%9."/>
      <w:lvlJc w:val="right"/>
      <w:pPr>
        <w:ind w:left="6480" w:hanging="180"/>
      </w:pPr>
    </w:lvl>
  </w:abstractNum>
  <w:abstractNum w:abstractNumId="8" w15:restartNumberingAfterBreak="0">
    <w:nsid w:val="3A366F80"/>
    <w:multiLevelType w:val="hybridMultilevel"/>
    <w:tmpl w:val="036A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61824"/>
    <w:multiLevelType w:val="hybridMultilevel"/>
    <w:tmpl w:val="E8EA0F60"/>
    <w:lvl w:ilvl="0" w:tplc="4E4AE202">
      <w:start w:val="2"/>
      <w:numFmt w:val="bullet"/>
      <w:lvlText w:val="-"/>
      <w:lvlJc w:val="left"/>
      <w:pPr>
        <w:ind w:left="720" w:hanging="360"/>
      </w:pPr>
      <w:rPr>
        <w:rFonts w:ascii="Arial" w:eastAsiaTheme="minorHAnsi"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1560B"/>
    <w:multiLevelType w:val="hybridMultilevel"/>
    <w:tmpl w:val="84AAF7D6"/>
    <w:lvl w:ilvl="0" w:tplc="7C00B1A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F554C"/>
    <w:multiLevelType w:val="hybridMultilevel"/>
    <w:tmpl w:val="790EA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E0FEF"/>
    <w:multiLevelType w:val="hybridMultilevel"/>
    <w:tmpl w:val="081802B2"/>
    <w:lvl w:ilvl="0" w:tplc="ACD62E14">
      <w:start w:val="1"/>
      <w:numFmt w:val="decimal"/>
      <w:lvlText w:val="%1."/>
      <w:lvlJc w:val="left"/>
      <w:pPr>
        <w:ind w:left="360" w:hanging="360"/>
      </w:pPr>
    </w:lvl>
    <w:lvl w:ilvl="1" w:tplc="0FDCC790">
      <w:start w:val="1"/>
      <w:numFmt w:val="lowerLetter"/>
      <w:lvlText w:val="%2."/>
      <w:lvlJc w:val="left"/>
      <w:pPr>
        <w:ind w:left="1080" w:hanging="360"/>
      </w:pPr>
    </w:lvl>
    <w:lvl w:ilvl="2" w:tplc="584A76BC">
      <w:start w:val="1"/>
      <w:numFmt w:val="lowerRoman"/>
      <w:lvlText w:val="%3."/>
      <w:lvlJc w:val="right"/>
      <w:pPr>
        <w:ind w:left="1800" w:hanging="180"/>
      </w:pPr>
    </w:lvl>
    <w:lvl w:ilvl="3" w:tplc="8B18BAB2">
      <w:start w:val="1"/>
      <w:numFmt w:val="decimal"/>
      <w:lvlText w:val="%4."/>
      <w:lvlJc w:val="left"/>
      <w:pPr>
        <w:ind w:left="2520" w:hanging="360"/>
      </w:pPr>
    </w:lvl>
    <w:lvl w:ilvl="4" w:tplc="F50ECD50">
      <w:start w:val="1"/>
      <w:numFmt w:val="lowerLetter"/>
      <w:lvlText w:val="%5."/>
      <w:lvlJc w:val="left"/>
      <w:pPr>
        <w:ind w:left="3240" w:hanging="360"/>
      </w:pPr>
    </w:lvl>
    <w:lvl w:ilvl="5" w:tplc="30CE9552">
      <w:start w:val="1"/>
      <w:numFmt w:val="lowerRoman"/>
      <w:lvlText w:val="%6."/>
      <w:lvlJc w:val="right"/>
      <w:pPr>
        <w:ind w:left="3960" w:hanging="180"/>
      </w:pPr>
    </w:lvl>
    <w:lvl w:ilvl="6" w:tplc="044C3AEE">
      <w:start w:val="1"/>
      <w:numFmt w:val="decimal"/>
      <w:lvlText w:val="%7."/>
      <w:lvlJc w:val="left"/>
      <w:pPr>
        <w:ind w:left="4680" w:hanging="360"/>
      </w:pPr>
    </w:lvl>
    <w:lvl w:ilvl="7" w:tplc="2E7EFA46">
      <w:start w:val="1"/>
      <w:numFmt w:val="lowerLetter"/>
      <w:lvlText w:val="%8."/>
      <w:lvlJc w:val="left"/>
      <w:pPr>
        <w:ind w:left="5400" w:hanging="360"/>
      </w:pPr>
    </w:lvl>
    <w:lvl w:ilvl="8" w:tplc="D97051E6">
      <w:start w:val="1"/>
      <w:numFmt w:val="lowerRoman"/>
      <w:lvlText w:val="%9."/>
      <w:lvlJc w:val="right"/>
      <w:pPr>
        <w:ind w:left="6120" w:hanging="180"/>
      </w:pPr>
    </w:lvl>
  </w:abstractNum>
  <w:abstractNum w:abstractNumId="13" w15:restartNumberingAfterBreak="0">
    <w:nsid w:val="6C0A0BBD"/>
    <w:multiLevelType w:val="hybridMultilevel"/>
    <w:tmpl w:val="7AE8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E36B9"/>
    <w:multiLevelType w:val="hybridMultilevel"/>
    <w:tmpl w:val="4BDA7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B237F"/>
    <w:multiLevelType w:val="hybridMultilevel"/>
    <w:tmpl w:val="D24E9E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4032C"/>
    <w:multiLevelType w:val="hybridMultilevel"/>
    <w:tmpl w:val="C9C2BF6A"/>
    <w:lvl w:ilvl="0" w:tplc="B0B209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6"/>
  </w:num>
  <w:num w:numId="5">
    <w:abstractNumId w:val="5"/>
  </w:num>
  <w:num w:numId="6">
    <w:abstractNumId w:val="4"/>
  </w:num>
  <w:num w:numId="7">
    <w:abstractNumId w:val="10"/>
  </w:num>
  <w:num w:numId="8">
    <w:abstractNumId w:val="9"/>
  </w:num>
  <w:num w:numId="9">
    <w:abstractNumId w:val="8"/>
  </w:num>
  <w:num w:numId="10">
    <w:abstractNumId w:val="3"/>
  </w:num>
  <w:num w:numId="11">
    <w:abstractNumId w:val="1"/>
  </w:num>
  <w:num w:numId="12">
    <w:abstractNumId w:val="15"/>
  </w:num>
  <w:num w:numId="13">
    <w:abstractNumId w:val="13"/>
  </w:num>
  <w:num w:numId="14">
    <w:abstractNumId w:val="14"/>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49"/>
    <w:rsid w:val="00040F8E"/>
    <w:rsid w:val="0004285D"/>
    <w:rsid w:val="0006343B"/>
    <w:rsid w:val="000A2393"/>
    <w:rsid w:val="000B1F9D"/>
    <w:rsid w:val="000B21A6"/>
    <w:rsid w:val="001540F0"/>
    <w:rsid w:val="001E1C3B"/>
    <w:rsid w:val="002456ED"/>
    <w:rsid w:val="00245FE4"/>
    <w:rsid w:val="00251923"/>
    <w:rsid w:val="00252771"/>
    <w:rsid w:val="00282656"/>
    <w:rsid w:val="002E1BED"/>
    <w:rsid w:val="003315D3"/>
    <w:rsid w:val="00350898"/>
    <w:rsid w:val="003542E9"/>
    <w:rsid w:val="00361E00"/>
    <w:rsid w:val="00424B58"/>
    <w:rsid w:val="00486A19"/>
    <w:rsid w:val="00516590"/>
    <w:rsid w:val="00524907"/>
    <w:rsid w:val="00561AEB"/>
    <w:rsid w:val="00642F8F"/>
    <w:rsid w:val="006644BF"/>
    <w:rsid w:val="00692226"/>
    <w:rsid w:val="006B32EB"/>
    <w:rsid w:val="006C6AAE"/>
    <w:rsid w:val="00772D1B"/>
    <w:rsid w:val="007908B8"/>
    <w:rsid w:val="007B071C"/>
    <w:rsid w:val="007D73B1"/>
    <w:rsid w:val="00812B14"/>
    <w:rsid w:val="0083726A"/>
    <w:rsid w:val="00845256"/>
    <w:rsid w:val="00845B3F"/>
    <w:rsid w:val="008C2DBD"/>
    <w:rsid w:val="008D22F4"/>
    <w:rsid w:val="008E0F96"/>
    <w:rsid w:val="008E17CC"/>
    <w:rsid w:val="009660AA"/>
    <w:rsid w:val="009B4BBB"/>
    <w:rsid w:val="00A15D89"/>
    <w:rsid w:val="00A43448"/>
    <w:rsid w:val="00AA084C"/>
    <w:rsid w:val="00AA6CB4"/>
    <w:rsid w:val="00AB317C"/>
    <w:rsid w:val="00AC625E"/>
    <w:rsid w:val="00AC6FE2"/>
    <w:rsid w:val="00AE131B"/>
    <w:rsid w:val="00AF6FB3"/>
    <w:rsid w:val="00B123D1"/>
    <w:rsid w:val="00B330B4"/>
    <w:rsid w:val="00B41DDB"/>
    <w:rsid w:val="00BD62C1"/>
    <w:rsid w:val="00C07D1D"/>
    <w:rsid w:val="00C1494C"/>
    <w:rsid w:val="00C2367F"/>
    <w:rsid w:val="00CD2D42"/>
    <w:rsid w:val="00CF263D"/>
    <w:rsid w:val="00D12A55"/>
    <w:rsid w:val="00E02A99"/>
    <w:rsid w:val="00E86C8F"/>
    <w:rsid w:val="00EA6A87"/>
    <w:rsid w:val="00F16BB1"/>
    <w:rsid w:val="00F774B0"/>
    <w:rsid w:val="00FA6249"/>
    <w:rsid w:val="00FD7FE0"/>
    <w:rsid w:val="0112B21D"/>
    <w:rsid w:val="016C8D6D"/>
    <w:rsid w:val="02A4C72E"/>
    <w:rsid w:val="02B5CD07"/>
    <w:rsid w:val="03AE4019"/>
    <w:rsid w:val="03F074C7"/>
    <w:rsid w:val="04225C59"/>
    <w:rsid w:val="04CEF2B6"/>
    <w:rsid w:val="050E31C6"/>
    <w:rsid w:val="053FC401"/>
    <w:rsid w:val="061A5ACF"/>
    <w:rsid w:val="0759FD1B"/>
    <w:rsid w:val="0781F3A1"/>
    <w:rsid w:val="0790013F"/>
    <w:rsid w:val="08F5CD7C"/>
    <w:rsid w:val="091DC402"/>
    <w:rsid w:val="092D57AF"/>
    <w:rsid w:val="0973D73D"/>
    <w:rsid w:val="0AB99463"/>
    <w:rsid w:val="0ADFE0D5"/>
    <w:rsid w:val="0F065932"/>
    <w:rsid w:val="0F5869F5"/>
    <w:rsid w:val="0F8332DF"/>
    <w:rsid w:val="102E0E8F"/>
    <w:rsid w:val="10DAA3C9"/>
    <w:rsid w:val="10F43A56"/>
    <w:rsid w:val="121CB4C7"/>
    <w:rsid w:val="1334E41A"/>
    <w:rsid w:val="13BA426B"/>
    <w:rsid w:val="140AB858"/>
    <w:rsid w:val="15B752D5"/>
    <w:rsid w:val="16367A3E"/>
    <w:rsid w:val="1653C3C7"/>
    <w:rsid w:val="17212070"/>
    <w:rsid w:val="177020E5"/>
    <w:rsid w:val="1773664E"/>
    <w:rsid w:val="185A6014"/>
    <w:rsid w:val="18E1E0D5"/>
    <w:rsid w:val="19ABBBF4"/>
    <w:rsid w:val="1C15CA3D"/>
    <w:rsid w:val="1D35232D"/>
    <w:rsid w:val="1F3DE1B7"/>
    <w:rsid w:val="1FF22ACD"/>
    <w:rsid w:val="20D01E48"/>
    <w:rsid w:val="20E93B60"/>
    <w:rsid w:val="21738B21"/>
    <w:rsid w:val="21A7B122"/>
    <w:rsid w:val="224EC4C1"/>
    <w:rsid w:val="2263F059"/>
    <w:rsid w:val="238CEF60"/>
    <w:rsid w:val="23BE43E3"/>
    <w:rsid w:val="25B31F52"/>
    <w:rsid w:val="25F15473"/>
    <w:rsid w:val="260D5D8A"/>
    <w:rsid w:val="2637CA47"/>
    <w:rsid w:val="269519A5"/>
    <w:rsid w:val="26A7758A"/>
    <w:rsid w:val="26C50EE4"/>
    <w:rsid w:val="26C7E836"/>
    <w:rsid w:val="2751537E"/>
    <w:rsid w:val="2860DF45"/>
    <w:rsid w:val="2A2C93B2"/>
    <w:rsid w:val="2A67675E"/>
    <w:rsid w:val="2A88C893"/>
    <w:rsid w:val="2ADBA226"/>
    <w:rsid w:val="2B6322E1"/>
    <w:rsid w:val="2C2D4AB4"/>
    <w:rsid w:val="2C3E97FF"/>
    <w:rsid w:val="2E43A3D9"/>
    <w:rsid w:val="2E89BDE0"/>
    <w:rsid w:val="2F3DCF03"/>
    <w:rsid w:val="2FD67B1D"/>
    <w:rsid w:val="30621D52"/>
    <w:rsid w:val="3101BA41"/>
    <w:rsid w:val="3210CADF"/>
    <w:rsid w:val="3237A597"/>
    <w:rsid w:val="3324551C"/>
    <w:rsid w:val="33318A3F"/>
    <w:rsid w:val="336023BE"/>
    <w:rsid w:val="33B73F71"/>
    <w:rsid w:val="33BA4D9B"/>
    <w:rsid w:val="343EED72"/>
    <w:rsid w:val="34527F7F"/>
    <w:rsid w:val="347F8E43"/>
    <w:rsid w:val="3490C960"/>
    <w:rsid w:val="34C5E493"/>
    <w:rsid w:val="35F54A8D"/>
    <w:rsid w:val="360C43E3"/>
    <w:rsid w:val="36C8FA42"/>
    <w:rsid w:val="370BB629"/>
    <w:rsid w:val="37C73F3B"/>
    <w:rsid w:val="37CEF5A1"/>
    <w:rsid w:val="387EF095"/>
    <w:rsid w:val="38F3471E"/>
    <w:rsid w:val="393DB9B2"/>
    <w:rsid w:val="3AF3D6ED"/>
    <w:rsid w:val="3B10D0A1"/>
    <w:rsid w:val="3B23295E"/>
    <w:rsid w:val="3BEEA825"/>
    <w:rsid w:val="3D3A9B1C"/>
    <w:rsid w:val="3DEE58DF"/>
    <w:rsid w:val="3E6C1BDC"/>
    <w:rsid w:val="3F5F16A8"/>
    <w:rsid w:val="3F622C66"/>
    <w:rsid w:val="3F81A019"/>
    <w:rsid w:val="405C3AAF"/>
    <w:rsid w:val="413F2106"/>
    <w:rsid w:val="41D10C67"/>
    <w:rsid w:val="41FDFB50"/>
    <w:rsid w:val="4225D2DB"/>
    <w:rsid w:val="437B9B8F"/>
    <w:rsid w:val="43C2DF09"/>
    <w:rsid w:val="43E14B6D"/>
    <w:rsid w:val="4413373A"/>
    <w:rsid w:val="44325BAE"/>
    <w:rsid w:val="447F1961"/>
    <w:rsid w:val="44C43458"/>
    <w:rsid w:val="4548D42F"/>
    <w:rsid w:val="455CE927"/>
    <w:rsid w:val="46CB7C33"/>
    <w:rsid w:val="46DF0E40"/>
    <w:rsid w:val="477AAEC3"/>
    <w:rsid w:val="47FEE0E5"/>
    <w:rsid w:val="49F393AD"/>
    <w:rsid w:val="4B9EED56"/>
    <w:rsid w:val="4BB27F63"/>
    <w:rsid w:val="4C2010A7"/>
    <w:rsid w:val="4CDA11F5"/>
    <w:rsid w:val="4D6B4C1F"/>
    <w:rsid w:val="4E0B4CFD"/>
    <w:rsid w:val="4E1F3252"/>
    <w:rsid w:val="4E9F2030"/>
    <w:rsid w:val="4F9BA38F"/>
    <w:rsid w:val="4FEB5C6A"/>
    <w:rsid w:val="502181BC"/>
    <w:rsid w:val="502E7316"/>
    <w:rsid w:val="511BACE6"/>
    <w:rsid w:val="51898F03"/>
    <w:rsid w:val="525EDFE1"/>
    <w:rsid w:val="527C67E5"/>
    <w:rsid w:val="53814D96"/>
    <w:rsid w:val="53A9FF3B"/>
    <w:rsid w:val="543624BA"/>
    <w:rsid w:val="54C12FC5"/>
    <w:rsid w:val="5545CF9C"/>
    <w:rsid w:val="5629A9B0"/>
    <w:rsid w:val="56359F28"/>
    <w:rsid w:val="564CF969"/>
    <w:rsid w:val="56881820"/>
    <w:rsid w:val="5718911B"/>
    <w:rsid w:val="57D0DA01"/>
    <w:rsid w:val="58228618"/>
    <w:rsid w:val="59F08F1A"/>
    <w:rsid w:val="5BB774CA"/>
    <w:rsid w:val="5C3A360A"/>
    <w:rsid w:val="5E2B7C17"/>
    <w:rsid w:val="5E903DFB"/>
    <w:rsid w:val="5F518E47"/>
    <w:rsid w:val="60F14E6D"/>
    <w:rsid w:val="617005E1"/>
    <w:rsid w:val="6255A4FB"/>
    <w:rsid w:val="635440F1"/>
    <w:rsid w:val="641B98A0"/>
    <w:rsid w:val="648B3453"/>
    <w:rsid w:val="655E4A9C"/>
    <w:rsid w:val="65A7FE63"/>
    <w:rsid w:val="66EE8353"/>
    <w:rsid w:val="67B24322"/>
    <w:rsid w:val="6895EB5E"/>
    <w:rsid w:val="6AE1B6B3"/>
    <w:rsid w:val="6B62A3E9"/>
    <w:rsid w:val="6CBD3701"/>
    <w:rsid w:val="6DAE673D"/>
    <w:rsid w:val="7098E9D1"/>
    <w:rsid w:val="70EB7028"/>
    <w:rsid w:val="71812E29"/>
    <w:rsid w:val="71D5D5B3"/>
    <w:rsid w:val="722AA68D"/>
    <w:rsid w:val="7264450C"/>
    <w:rsid w:val="745038B3"/>
    <w:rsid w:val="74882FC0"/>
    <w:rsid w:val="748CA50D"/>
    <w:rsid w:val="7508D1D3"/>
    <w:rsid w:val="76DA4006"/>
    <w:rsid w:val="77ED487F"/>
    <w:rsid w:val="78DC451A"/>
    <w:rsid w:val="78EDB970"/>
    <w:rsid w:val="794313F9"/>
    <w:rsid w:val="79A0DF7C"/>
    <w:rsid w:val="79A36F32"/>
    <w:rsid w:val="7A61D42C"/>
    <w:rsid w:val="7AD1F75F"/>
    <w:rsid w:val="7AFB66C3"/>
    <w:rsid w:val="7C8795C5"/>
    <w:rsid w:val="7CB04468"/>
    <w:rsid w:val="7CD8803E"/>
    <w:rsid w:val="7D76B7E4"/>
    <w:rsid w:val="7E3E599E"/>
    <w:rsid w:val="7EC6E6C7"/>
    <w:rsid w:val="7F78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EADE"/>
  <w15:chartTrackingRefBased/>
  <w15:docId w15:val="{B541B236-FEA8-45D0-8578-903CC38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7F"/>
  </w:style>
  <w:style w:type="paragraph" w:styleId="Heading1">
    <w:name w:val="heading 1"/>
    <w:basedOn w:val="Normal"/>
    <w:next w:val="Normal"/>
    <w:link w:val="Heading1Char"/>
    <w:uiPriority w:val="9"/>
    <w:qFormat/>
    <w:rsid w:val="00812B14"/>
    <w:pPr>
      <w:keepNext/>
      <w:keepLines/>
      <w:spacing w:after="120"/>
      <w:outlineLvl w:val="0"/>
    </w:pPr>
    <w:rPr>
      <w:rFonts w:eastAsiaTheme="majorEastAsia" w:cstheme="majorBidi"/>
      <w:b/>
      <w:sz w:val="40"/>
      <w:szCs w:val="32"/>
    </w:rPr>
  </w:style>
  <w:style w:type="paragraph" w:styleId="Heading2">
    <w:name w:val="heading 2"/>
    <w:basedOn w:val="Heading3"/>
    <w:next w:val="Normal"/>
    <w:link w:val="Heading2Char"/>
    <w:uiPriority w:val="9"/>
    <w:qFormat/>
    <w:rsid w:val="00692226"/>
    <w:pPr>
      <w:spacing w:after="120"/>
      <w:outlineLvl w:val="1"/>
    </w:pPr>
    <w:rPr>
      <w:color w:val="1F3864" w:themeColor="accent1" w:themeShade="80"/>
      <w:sz w:val="28"/>
    </w:rPr>
  </w:style>
  <w:style w:type="paragraph" w:styleId="Heading3">
    <w:name w:val="heading 3"/>
    <w:basedOn w:val="Normal"/>
    <w:next w:val="Normal"/>
    <w:link w:val="Heading3Char"/>
    <w:uiPriority w:val="9"/>
    <w:qFormat/>
    <w:rsid w:val="00772D1B"/>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C2367F"/>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B14"/>
    <w:rPr>
      <w:rFonts w:eastAsiaTheme="majorEastAsia" w:cstheme="majorBidi"/>
      <w:b/>
      <w:sz w:val="40"/>
      <w:szCs w:val="32"/>
    </w:rPr>
  </w:style>
  <w:style w:type="character" w:customStyle="1" w:styleId="Heading2Char">
    <w:name w:val="Heading 2 Char"/>
    <w:basedOn w:val="DefaultParagraphFont"/>
    <w:link w:val="Heading2"/>
    <w:uiPriority w:val="9"/>
    <w:rsid w:val="00692226"/>
    <w:rPr>
      <w:rFonts w:eastAsiaTheme="majorEastAsia" w:cstheme="majorBidi"/>
      <w:b/>
      <w:color w:val="1F3864" w:themeColor="accent1" w:themeShade="80"/>
      <w:sz w:val="28"/>
    </w:rPr>
  </w:style>
  <w:style w:type="character" w:customStyle="1" w:styleId="Heading3Char">
    <w:name w:val="Heading 3 Char"/>
    <w:basedOn w:val="DefaultParagraphFont"/>
    <w:link w:val="Heading3"/>
    <w:uiPriority w:val="9"/>
    <w:rsid w:val="00772D1B"/>
    <w:rPr>
      <w:rFonts w:eastAsiaTheme="majorEastAsia" w:cstheme="majorBidi"/>
      <w:b/>
    </w:rPr>
  </w:style>
  <w:style w:type="character" w:customStyle="1" w:styleId="Heading4Char">
    <w:name w:val="Heading 4 Char"/>
    <w:basedOn w:val="DefaultParagraphFont"/>
    <w:link w:val="Heading4"/>
    <w:uiPriority w:val="9"/>
    <w:semiHidden/>
    <w:rsid w:val="00C2367F"/>
    <w:rPr>
      <w:rFonts w:eastAsiaTheme="majorEastAsia" w:cstheme="majorBidi"/>
      <w:i/>
      <w:iCs/>
      <w:color w:val="2F5496" w:themeColor="accent1" w:themeShade="BF"/>
    </w:rPr>
  </w:style>
  <w:style w:type="paragraph" w:styleId="Title">
    <w:name w:val="Title"/>
    <w:basedOn w:val="Normal"/>
    <w:next w:val="Normal"/>
    <w:link w:val="TitleChar"/>
    <w:uiPriority w:val="10"/>
    <w:qFormat/>
    <w:rsid w:val="00C2367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2367F"/>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C2367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67F"/>
    <w:rPr>
      <w:rFonts w:eastAsiaTheme="minorEastAsia"/>
      <w:color w:val="5A5A5A" w:themeColor="text1" w:themeTint="A5"/>
      <w:spacing w:val="15"/>
    </w:rPr>
  </w:style>
  <w:style w:type="table" w:styleId="TableGrid">
    <w:name w:val="Table Grid"/>
    <w:basedOn w:val="TableNormal"/>
    <w:uiPriority w:val="39"/>
    <w:rsid w:val="00E8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F8E"/>
    <w:pPr>
      <w:ind w:left="720"/>
      <w:contextualSpacing/>
    </w:pPr>
  </w:style>
  <w:style w:type="paragraph" w:styleId="CommentText">
    <w:name w:val="annotation text"/>
    <w:basedOn w:val="Normal"/>
    <w:link w:val="CommentTextChar"/>
    <w:uiPriority w:val="99"/>
    <w:unhideWhenUsed/>
    <w:rsid w:val="009660AA"/>
    <w:pPr>
      <w:spacing w:line="240" w:lineRule="auto"/>
    </w:pPr>
    <w:rPr>
      <w:sz w:val="20"/>
      <w:szCs w:val="20"/>
    </w:rPr>
  </w:style>
  <w:style w:type="character" w:customStyle="1" w:styleId="CommentTextChar">
    <w:name w:val="Comment Text Char"/>
    <w:basedOn w:val="DefaultParagraphFont"/>
    <w:link w:val="CommentText"/>
    <w:uiPriority w:val="99"/>
    <w:rsid w:val="009660AA"/>
    <w:rPr>
      <w:sz w:val="20"/>
      <w:szCs w:val="20"/>
    </w:rPr>
  </w:style>
  <w:style w:type="character" w:styleId="CommentReference">
    <w:name w:val="annotation reference"/>
    <w:basedOn w:val="DefaultParagraphFont"/>
    <w:uiPriority w:val="99"/>
    <w:semiHidden/>
    <w:unhideWhenUsed/>
    <w:rsid w:val="009660AA"/>
    <w:rPr>
      <w:sz w:val="16"/>
      <w:szCs w:val="16"/>
    </w:rPr>
  </w:style>
  <w:style w:type="paragraph" w:styleId="CommentSubject">
    <w:name w:val="annotation subject"/>
    <w:basedOn w:val="CommentText"/>
    <w:next w:val="CommentText"/>
    <w:link w:val="CommentSubjectChar"/>
    <w:uiPriority w:val="99"/>
    <w:semiHidden/>
    <w:unhideWhenUsed/>
    <w:rsid w:val="00A15D89"/>
    <w:rPr>
      <w:b/>
      <w:bCs/>
    </w:rPr>
  </w:style>
  <w:style w:type="character" w:customStyle="1" w:styleId="CommentSubjectChar">
    <w:name w:val="Comment Subject Char"/>
    <w:basedOn w:val="CommentTextChar"/>
    <w:link w:val="CommentSubject"/>
    <w:uiPriority w:val="99"/>
    <w:semiHidden/>
    <w:rsid w:val="00A15D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4077B0FBDF3D4CA5A173F9D83087C8" ma:contentTypeVersion="4" ma:contentTypeDescription="Create a new document." ma:contentTypeScope="" ma:versionID="6d0210842982520f506ce44f85fa48cb">
  <xsd:schema xmlns:xsd="http://www.w3.org/2001/XMLSchema" xmlns:xs="http://www.w3.org/2001/XMLSchema" xmlns:p="http://schemas.microsoft.com/office/2006/metadata/properties" xmlns:ns2="b7bd6d4a-d5c9-4792-a691-161bc5b09e22" xmlns:ns3="9974d567-4d5f-4718-afca-c1e75cf6ae9b" targetNamespace="http://schemas.microsoft.com/office/2006/metadata/properties" ma:root="true" ma:fieldsID="b8223cb96e7f3286a003529dd08b8b03" ns2:_="" ns3:_="">
    <xsd:import namespace="b7bd6d4a-d5c9-4792-a691-161bc5b09e22"/>
    <xsd:import namespace="9974d567-4d5f-4718-afca-c1e75cf6a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d6d4a-d5c9-4792-a691-161bc5b09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74d567-4d5f-4718-afca-c1e75cf6a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0750E-A846-4DC7-B05F-541980771CB2}">
  <ds:schemaRefs>
    <ds:schemaRef ds:uri="http://schemas.microsoft.com/sharepoint/v3/contenttype/forms"/>
  </ds:schemaRefs>
</ds:datastoreItem>
</file>

<file path=customXml/itemProps2.xml><?xml version="1.0" encoding="utf-8"?>
<ds:datastoreItem xmlns:ds="http://schemas.openxmlformats.org/officeDocument/2006/customXml" ds:itemID="{EE450D7D-C68C-4FFC-9765-20DE3D541F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1AF93-05D6-4D91-8B6F-92BDA013092A}">
  <ds:schemaRefs>
    <ds:schemaRef ds:uri="http://schemas.openxmlformats.org/officeDocument/2006/bibliography"/>
  </ds:schemaRefs>
</ds:datastoreItem>
</file>

<file path=customXml/itemProps4.xml><?xml version="1.0" encoding="utf-8"?>
<ds:datastoreItem xmlns:ds="http://schemas.openxmlformats.org/officeDocument/2006/customXml" ds:itemID="{9042471C-8430-4D00-9596-694F2FABF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d6d4a-d5c9-4792-a691-161bc5b09e22"/>
    <ds:schemaRef ds:uri="9974d567-4d5f-4718-afca-c1e75cf6a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Katherine@CalRecycle</dc:creator>
  <cp:keywords/>
  <dc:description/>
  <cp:lastModifiedBy>Wilkins, Katherine@CalRecycle</cp:lastModifiedBy>
  <cp:revision>3</cp:revision>
  <dcterms:created xsi:type="dcterms:W3CDTF">2022-02-24T22:19:00Z</dcterms:created>
  <dcterms:modified xsi:type="dcterms:W3CDTF">2022-02-24T22:19:00Z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0x010100684077B0FBDF3D4CA5A173F9D83087C8</vt:lpwstr>
  </property>
</Properties>
</file>